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ind w:firstLine="357"/>
        <w:jc w:val="center"/>
        <w:rPr>
          <w:b/>
          <w:bCs/>
        </w:rPr>
      </w:pPr>
    </w:p>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C06094" w:rsidRPr="00C06094">
        <w:rPr>
          <w:sz w:val="28"/>
          <w:szCs w:val="28"/>
        </w:rPr>
        <w:t>Батареї акумуляторні для джерел безперебійного живлення APC SMART UPS</w:t>
      </w:r>
      <w:r w:rsidRPr="007638CC">
        <w:rPr>
          <w:sz w:val="28"/>
          <w:szCs w:val="28"/>
        </w:rPr>
        <w:t xml:space="preserve"> (код за ДК 021:2015: </w:t>
      </w:r>
      <w:r w:rsidR="00C06094" w:rsidRPr="00C06094">
        <w:rPr>
          <w:sz w:val="28"/>
          <w:szCs w:val="28"/>
        </w:rPr>
        <w:t>31440000-2 — Акумуляторні батареї</w:t>
      </w:r>
      <w:r w:rsidRPr="007638CC">
        <w:rPr>
          <w:sz w:val="28"/>
          <w:szCs w:val="28"/>
        </w:rPr>
        <w:t>)</w:t>
      </w:r>
      <w:r>
        <w:rPr>
          <w:sz w:val="28"/>
          <w:szCs w:val="28"/>
        </w:rPr>
        <w:t>.</w:t>
      </w:r>
    </w:p>
    <w:p w:rsidR="00F56DE4" w:rsidRDefault="00F56DE4">
      <w:pPr>
        <w:spacing w:after="160" w:line="259" w:lineRule="auto"/>
        <w:ind w:left="360"/>
        <w:contextualSpacing/>
        <w:jc w:val="both"/>
        <w:rPr>
          <w:sz w:val="28"/>
          <w:szCs w:val="28"/>
        </w:rPr>
      </w:pPr>
    </w:p>
    <w:p w:rsidR="00C06094" w:rsidRPr="000F5409" w:rsidRDefault="00F56DE4" w:rsidP="00C06094">
      <w:pPr>
        <w:ind w:firstLine="709"/>
        <w:contextualSpacing/>
        <w:jc w:val="both"/>
        <w:rPr>
          <w:sz w:val="28"/>
          <w:szCs w:val="28"/>
        </w:rPr>
      </w:pPr>
      <w:r>
        <w:rPr>
          <w:sz w:val="28"/>
          <w:szCs w:val="28"/>
        </w:rPr>
        <w:t xml:space="preserve">3. Ідентифікатор закупівлі: </w:t>
      </w:r>
      <w:r w:rsidR="00C06094" w:rsidRPr="00C06094">
        <w:rPr>
          <w:sz w:val="28"/>
          <w:szCs w:val="28"/>
        </w:rPr>
        <w:t>UA-2025-11-18-003194-a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proofErr w:type="spellStart"/>
      <w:r w:rsidR="00C06094">
        <w:rPr>
          <w:sz w:val="28"/>
          <w:szCs w:val="28"/>
        </w:rPr>
        <w:t>б</w:t>
      </w:r>
      <w:r w:rsidR="00C06094" w:rsidRPr="00C06094">
        <w:rPr>
          <w:sz w:val="28"/>
          <w:szCs w:val="28"/>
        </w:rPr>
        <w:t>атаре</w:t>
      </w:r>
      <w:r w:rsidR="00C06094">
        <w:rPr>
          <w:sz w:val="28"/>
          <w:szCs w:val="28"/>
        </w:rPr>
        <w:t>й</w:t>
      </w:r>
      <w:proofErr w:type="spellEnd"/>
      <w:r w:rsidR="00C06094" w:rsidRPr="00C06094">
        <w:rPr>
          <w:sz w:val="28"/>
          <w:szCs w:val="28"/>
        </w:rPr>
        <w:t xml:space="preserve"> акумуляторн</w:t>
      </w:r>
      <w:r w:rsidR="00C06094">
        <w:rPr>
          <w:sz w:val="28"/>
          <w:szCs w:val="28"/>
        </w:rPr>
        <w:t>их</w:t>
      </w:r>
      <w:r w:rsidR="00C06094" w:rsidRPr="00C06094">
        <w:rPr>
          <w:sz w:val="28"/>
          <w:szCs w:val="28"/>
        </w:rPr>
        <w:t xml:space="preserve"> для джерел безперебійного живлення APC SMART UPS</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C06094" w:rsidRPr="00C06094" w:rsidRDefault="00F56DE4" w:rsidP="00C06094">
      <w:pPr>
        <w:ind w:firstLine="709"/>
        <w:jc w:val="both"/>
        <w:rPr>
          <w:sz w:val="28"/>
          <w:szCs w:val="28"/>
        </w:rPr>
      </w:pPr>
      <w:r>
        <w:rPr>
          <w:sz w:val="28"/>
          <w:szCs w:val="28"/>
        </w:rPr>
        <w:t>4.</w:t>
      </w:r>
      <w:r w:rsidRPr="000F5409">
        <w:rPr>
          <w:sz w:val="28"/>
          <w:szCs w:val="28"/>
        </w:rPr>
        <w:t>1.</w:t>
      </w:r>
      <w:r w:rsidRPr="007638CC">
        <w:rPr>
          <w:sz w:val="28"/>
          <w:szCs w:val="28"/>
        </w:rPr>
        <w:t xml:space="preserve"> </w:t>
      </w:r>
      <w:r w:rsidR="00C06094" w:rsidRPr="00C06094">
        <w:rPr>
          <w:sz w:val="28"/>
          <w:szCs w:val="28"/>
        </w:rPr>
        <w:t>Загальні вимоги:</w:t>
      </w:r>
    </w:p>
    <w:p w:rsidR="00C06094" w:rsidRPr="00C06094" w:rsidRDefault="00C06094" w:rsidP="00C06094">
      <w:pPr>
        <w:ind w:firstLine="709"/>
        <w:jc w:val="both"/>
        <w:rPr>
          <w:sz w:val="28"/>
          <w:szCs w:val="28"/>
        </w:rPr>
      </w:pPr>
    </w:p>
    <w:p w:rsidR="00C06094" w:rsidRPr="00C06094" w:rsidRDefault="00C06094" w:rsidP="00C06094">
      <w:pPr>
        <w:ind w:firstLine="709"/>
        <w:jc w:val="both"/>
        <w:rPr>
          <w:sz w:val="28"/>
          <w:szCs w:val="28"/>
        </w:rPr>
      </w:pPr>
      <w:r>
        <w:rPr>
          <w:sz w:val="28"/>
          <w:szCs w:val="28"/>
        </w:rPr>
        <w:t>4.</w:t>
      </w:r>
      <w:r w:rsidRPr="00C06094">
        <w:rPr>
          <w:sz w:val="28"/>
          <w:szCs w:val="28"/>
        </w:rPr>
        <w:t>1.1.</w:t>
      </w:r>
      <w:r w:rsidRPr="00C06094">
        <w:rPr>
          <w:sz w:val="28"/>
          <w:szCs w:val="28"/>
        </w:rPr>
        <w:tab/>
        <w:t>Пропоновані Учасником батареї акумуляторні для джерел безперебійного живлення APC SMART UPS (далі – Товар) повинні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rsidR="00C06094" w:rsidRPr="00C06094" w:rsidRDefault="00C06094" w:rsidP="00C06094">
      <w:pPr>
        <w:ind w:firstLine="709"/>
        <w:jc w:val="both"/>
        <w:rPr>
          <w:sz w:val="28"/>
          <w:szCs w:val="28"/>
        </w:rPr>
      </w:pPr>
      <w:r>
        <w:rPr>
          <w:sz w:val="28"/>
          <w:szCs w:val="28"/>
        </w:rPr>
        <w:t>4.</w:t>
      </w:r>
      <w:r w:rsidRPr="00C06094">
        <w:rPr>
          <w:sz w:val="28"/>
          <w:szCs w:val="28"/>
        </w:rPr>
        <w:t>1.2.</w:t>
      </w:r>
      <w:r w:rsidRPr="00C06094">
        <w:rPr>
          <w:sz w:val="28"/>
          <w:szCs w:val="28"/>
        </w:rPr>
        <w:tab/>
        <w:t>Технічні, якісні характеристики Товару повинні передбачати застосування заходів із захисту довкілля.</w:t>
      </w:r>
    </w:p>
    <w:p w:rsidR="00C06094" w:rsidRPr="00C06094" w:rsidRDefault="00C06094" w:rsidP="00C06094">
      <w:pPr>
        <w:ind w:firstLine="709"/>
        <w:jc w:val="both"/>
        <w:rPr>
          <w:sz w:val="28"/>
          <w:szCs w:val="28"/>
        </w:rPr>
      </w:pPr>
      <w:r>
        <w:rPr>
          <w:sz w:val="28"/>
          <w:szCs w:val="28"/>
        </w:rPr>
        <w:t>4.</w:t>
      </w:r>
      <w:r w:rsidRPr="00C06094">
        <w:rPr>
          <w:sz w:val="28"/>
          <w:szCs w:val="28"/>
        </w:rPr>
        <w:t>1.3.</w:t>
      </w:r>
      <w:r w:rsidRPr="00C06094">
        <w:rPr>
          <w:sz w:val="28"/>
          <w:szCs w:val="28"/>
        </w:rPr>
        <w:tab/>
        <w:t>Товар має бути новим, не старішим від 6 місяців з дати виготовлення, таким, що   не   перебував   у   експлуатації (використанні), терміни та умови його зберігання не повинні бути порушеними.</w:t>
      </w:r>
    </w:p>
    <w:p w:rsidR="00C06094" w:rsidRPr="00C06094" w:rsidRDefault="00C06094" w:rsidP="00C06094">
      <w:pPr>
        <w:ind w:firstLine="709"/>
        <w:jc w:val="both"/>
        <w:rPr>
          <w:sz w:val="28"/>
          <w:szCs w:val="28"/>
        </w:rPr>
      </w:pPr>
      <w:r>
        <w:rPr>
          <w:sz w:val="28"/>
          <w:szCs w:val="28"/>
        </w:rPr>
        <w:t>4.</w:t>
      </w:r>
      <w:r w:rsidRPr="00C06094">
        <w:rPr>
          <w:sz w:val="28"/>
          <w:szCs w:val="28"/>
        </w:rPr>
        <w:t>1.4.</w:t>
      </w:r>
      <w:r w:rsidRPr="00C06094">
        <w:rPr>
          <w:sz w:val="28"/>
          <w:szCs w:val="28"/>
        </w:rPr>
        <w:tab/>
        <w:t xml:space="preserve">Товар повинен бути в спеціальній упаковці, яка відповідає характеру товару і захищає його від пошкоджень під час поставки. </w:t>
      </w:r>
    </w:p>
    <w:p w:rsidR="00C06094" w:rsidRPr="00C06094" w:rsidRDefault="00C06094" w:rsidP="00C06094">
      <w:pPr>
        <w:ind w:firstLine="709"/>
        <w:jc w:val="both"/>
        <w:rPr>
          <w:sz w:val="28"/>
          <w:szCs w:val="28"/>
        </w:rPr>
      </w:pPr>
    </w:p>
    <w:p w:rsidR="00C06094" w:rsidRPr="00C06094" w:rsidRDefault="00C06094" w:rsidP="00C06094">
      <w:pPr>
        <w:ind w:firstLine="709"/>
        <w:jc w:val="both"/>
        <w:rPr>
          <w:sz w:val="28"/>
          <w:szCs w:val="28"/>
        </w:rPr>
      </w:pPr>
      <w:r>
        <w:rPr>
          <w:sz w:val="28"/>
          <w:szCs w:val="28"/>
        </w:rPr>
        <w:lastRenderedPageBreak/>
        <w:t>4.</w:t>
      </w:r>
      <w:r w:rsidRPr="00C06094">
        <w:rPr>
          <w:sz w:val="28"/>
          <w:szCs w:val="28"/>
        </w:rPr>
        <w:t>1.5.</w:t>
      </w:r>
      <w:r w:rsidRPr="00C06094">
        <w:rPr>
          <w:sz w:val="28"/>
          <w:szCs w:val="28"/>
        </w:rPr>
        <w:tab/>
        <w:t>Товар повинен відповідати вимогам Замовника, тобто бути не гірше за технічними та якісними характеристиками.</w:t>
      </w:r>
    </w:p>
    <w:p w:rsidR="00C06094" w:rsidRPr="00C06094" w:rsidRDefault="00C06094" w:rsidP="00C06094">
      <w:pPr>
        <w:ind w:firstLine="709"/>
        <w:jc w:val="both"/>
        <w:rPr>
          <w:sz w:val="28"/>
          <w:szCs w:val="28"/>
        </w:rPr>
      </w:pPr>
      <w:r>
        <w:rPr>
          <w:sz w:val="28"/>
          <w:szCs w:val="28"/>
        </w:rPr>
        <w:t>4.</w:t>
      </w:r>
      <w:r w:rsidRPr="00C06094">
        <w:rPr>
          <w:sz w:val="28"/>
          <w:szCs w:val="28"/>
        </w:rPr>
        <w:t>1.6.</w:t>
      </w:r>
      <w:r w:rsidRPr="00C06094">
        <w:rPr>
          <w:sz w:val="28"/>
          <w:szCs w:val="28"/>
        </w:rPr>
        <w:tab/>
        <w:t>Товар повинен бути сумісним з джерелом безперебійного живлення APC SMART UPS SRT-6000 (SRT6KRMXLI).</w:t>
      </w:r>
    </w:p>
    <w:p w:rsidR="00C06094" w:rsidRPr="00C06094" w:rsidRDefault="00C06094" w:rsidP="00C06094">
      <w:pPr>
        <w:ind w:firstLine="709"/>
        <w:jc w:val="both"/>
        <w:rPr>
          <w:sz w:val="28"/>
          <w:szCs w:val="28"/>
        </w:rPr>
      </w:pPr>
      <w:r>
        <w:rPr>
          <w:sz w:val="28"/>
          <w:szCs w:val="28"/>
        </w:rPr>
        <w:t>4.</w:t>
      </w:r>
      <w:r w:rsidRPr="00C06094">
        <w:rPr>
          <w:sz w:val="28"/>
          <w:szCs w:val="28"/>
        </w:rPr>
        <w:t>1.7.</w:t>
      </w:r>
      <w:r w:rsidRPr="00C06094">
        <w:rPr>
          <w:sz w:val="28"/>
          <w:szCs w:val="28"/>
        </w:rPr>
        <w:tab/>
        <w:t>У цій документації всі посилання на конкретні марку чи виробника або на конкретний процес, що характеризує продукт певного суб’єкта господарювання, чи на торгові марки, типи або конкретне місце походження чи спосіб виробництва вживаються у значенні «або еквівалент».</w:t>
      </w:r>
    </w:p>
    <w:p w:rsidR="00C06094" w:rsidRPr="00C06094" w:rsidRDefault="00C06094" w:rsidP="00C06094">
      <w:pPr>
        <w:ind w:firstLine="709"/>
        <w:jc w:val="both"/>
        <w:rPr>
          <w:sz w:val="28"/>
          <w:szCs w:val="28"/>
        </w:rPr>
      </w:pPr>
    </w:p>
    <w:p w:rsidR="00C06094" w:rsidRPr="00C06094" w:rsidRDefault="00C06094" w:rsidP="00C06094">
      <w:pPr>
        <w:ind w:firstLine="709"/>
        <w:jc w:val="both"/>
        <w:rPr>
          <w:sz w:val="28"/>
          <w:szCs w:val="28"/>
        </w:rPr>
      </w:pPr>
      <w:r>
        <w:rPr>
          <w:sz w:val="28"/>
          <w:szCs w:val="28"/>
        </w:rPr>
        <w:t>4.</w:t>
      </w:r>
      <w:r w:rsidRPr="00C06094">
        <w:rPr>
          <w:sz w:val="28"/>
          <w:szCs w:val="28"/>
        </w:rPr>
        <w:t>2. Вимоги до товару:</w:t>
      </w:r>
    </w:p>
    <w:p w:rsidR="00C06094" w:rsidRPr="00C06094" w:rsidRDefault="00C06094" w:rsidP="00C06094">
      <w:pPr>
        <w:ind w:firstLine="709"/>
        <w:jc w:val="both"/>
        <w:rPr>
          <w:sz w:val="28"/>
          <w:szCs w:val="28"/>
        </w:rPr>
      </w:pPr>
    </w:p>
    <w:p w:rsidR="00A6202F" w:rsidRDefault="00C06094" w:rsidP="00C06094">
      <w:pPr>
        <w:ind w:firstLine="709"/>
        <w:jc w:val="both"/>
        <w:rPr>
          <w:sz w:val="28"/>
          <w:szCs w:val="28"/>
        </w:rPr>
      </w:pPr>
      <w:r>
        <w:rPr>
          <w:sz w:val="28"/>
          <w:szCs w:val="28"/>
        </w:rPr>
        <w:t>4.</w:t>
      </w:r>
      <w:r w:rsidRPr="00C06094">
        <w:rPr>
          <w:sz w:val="28"/>
          <w:szCs w:val="28"/>
        </w:rPr>
        <w:t>2.1. Пропонований Учасником Товар має відповідати наступним основним технічним і якісним вимогам:</w:t>
      </w:r>
    </w:p>
    <w:p w:rsidR="00C06094" w:rsidRDefault="00C06094" w:rsidP="00C06094">
      <w:pPr>
        <w:ind w:firstLine="709"/>
        <w:jc w:val="both"/>
        <w:rPr>
          <w:sz w:val="28"/>
          <w:szCs w:val="28"/>
        </w:rPr>
      </w:pPr>
    </w:p>
    <w:tbl>
      <w:tblPr>
        <w:tblW w:w="9639"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709"/>
        <w:gridCol w:w="4123"/>
        <w:gridCol w:w="4807"/>
      </w:tblGrid>
      <w:tr w:rsidR="00C06094" w:rsidRPr="00831007" w:rsidTr="005B04AA">
        <w:trPr>
          <w:trHeight w:val="621"/>
        </w:trPr>
        <w:tc>
          <w:tcPr>
            <w:tcW w:w="709" w:type="dxa"/>
            <w:shd w:val="clear" w:color="auto" w:fill="FFFFFF"/>
          </w:tcPr>
          <w:p w:rsidR="00C06094" w:rsidRPr="00831007" w:rsidRDefault="00C06094" w:rsidP="005B04AA">
            <w:pPr>
              <w:spacing w:line="100" w:lineRule="atLeast"/>
              <w:ind w:left="-9" w:firstLine="9"/>
              <w:jc w:val="center"/>
              <w:rPr>
                <w:b/>
                <w:bCs/>
                <w:color w:val="000000"/>
              </w:rPr>
            </w:pPr>
            <w:bookmarkStart w:id="0" w:name="_Hlk212714543"/>
            <w:r w:rsidRPr="00831007">
              <w:rPr>
                <w:b/>
                <w:bCs/>
                <w:color w:val="000000"/>
              </w:rPr>
              <w:t>№ з/п</w:t>
            </w:r>
          </w:p>
        </w:tc>
        <w:tc>
          <w:tcPr>
            <w:tcW w:w="4123" w:type="dxa"/>
            <w:shd w:val="clear" w:color="auto" w:fill="FFFFFF"/>
            <w:vAlign w:val="center"/>
          </w:tcPr>
          <w:p w:rsidR="00C06094" w:rsidRPr="00831007" w:rsidRDefault="00C06094" w:rsidP="005B04AA">
            <w:pPr>
              <w:spacing w:line="100" w:lineRule="atLeast"/>
              <w:ind w:left="-9" w:firstLine="9"/>
              <w:jc w:val="center"/>
              <w:rPr>
                <w:b/>
                <w:bCs/>
                <w:color w:val="000000"/>
              </w:rPr>
            </w:pPr>
            <w:r w:rsidRPr="00831007">
              <w:rPr>
                <w:b/>
                <w:bCs/>
                <w:color w:val="000000"/>
              </w:rPr>
              <w:t>Параметр/характеристика</w:t>
            </w:r>
          </w:p>
        </w:tc>
        <w:tc>
          <w:tcPr>
            <w:tcW w:w="4807" w:type="dxa"/>
            <w:shd w:val="clear" w:color="auto" w:fill="FFFFFF"/>
            <w:vAlign w:val="center"/>
          </w:tcPr>
          <w:p w:rsidR="00C06094" w:rsidRPr="00831007" w:rsidRDefault="00C06094" w:rsidP="005B04AA">
            <w:pPr>
              <w:spacing w:line="100" w:lineRule="atLeast"/>
              <w:ind w:left="-9" w:firstLine="9"/>
              <w:jc w:val="center"/>
              <w:rPr>
                <w:b/>
                <w:bCs/>
                <w:color w:val="000000"/>
              </w:rPr>
            </w:pPr>
            <w:r w:rsidRPr="00831007">
              <w:rPr>
                <w:b/>
                <w:bCs/>
                <w:color w:val="000000"/>
              </w:rPr>
              <w:t>Значення параметру / характеристики</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1</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Модель</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CSB HR1221W (або еквівалент)</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2</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Номінальна напруга, В</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12 </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3</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Ємність, Вт/Ел</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21 при 15 хв, розряді до </w:t>
            </w:r>
            <w:proofErr w:type="spellStart"/>
            <w:r w:rsidRPr="00831007">
              <w:rPr>
                <w:color w:val="000000"/>
              </w:rPr>
              <w:t>Uкін</w:t>
            </w:r>
            <w:proofErr w:type="spellEnd"/>
            <w:r w:rsidRPr="00831007">
              <w:rPr>
                <w:color w:val="000000"/>
              </w:rPr>
              <w:t xml:space="preserve"> - 1,67В/Ел при 25°С</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4</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Розмір (</w:t>
            </w:r>
            <w:proofErr w:type="spellStart"/>
            <w:r w:rsidRPr="00831007">
              <w:rPr>
                <w:color w:val="000000"/>
              </w:rPr>
              <w:t>ДхШхВ</w:t>
            </w:r>
            <w:proofErr w:type="spellEnd"/>
            <w:r w:rsidRPr="00831007">
              <w:rPr>
                <w:color w:val="000000"/>
              </w:rPr>
              <w:t>), мм</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90±1,0 x 70 ±1,0 x 106,1±1,5 (з клемами)</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5</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Вага, кг</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1,8 </w:t>
            </w:r>
          </w:p>
        </w:tc>
      </w:tr>
      <w:tr w:rsidR="00C06094" w:rsidRPr="00831007" w:rsidTr="005B04AA">
        <w:trPr>
          <w:trHeight w:val="343"/>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6</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Матеріал корпусу</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АВS  </w:t>
            </w:r>
          </w:p>
        </w:tc>
      </w:tr>
      <w:tr w:rsidR="00C06094" w:rsidRPr="00831007" w:rsidTr="005B04AA">
        <w:trPr>
          <w:trHeight w:val="343"/>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7</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Внутрішній опір, </w:t>
            </w:r>
            <w:proofErr w:type="spellStart"/>
            <w:r w:rsidRPr="00831007">
              <w:rPr>
                <w:color w:val="000000"/>
              </w:rPr>
              <w:t>мОм</w:t>
            </w:r>
            <w:proofErr w:type="spellEnd"/>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не більше 25</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8</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 Максимальний струм заряду, А</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2,1 (при заряді постійним струмом)</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9</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Час автономної роботи (строк служби), років</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не менше 5</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10</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Гарантія, місяців</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не менше 12</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12</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Виводи (тип клеми акумулятора)</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bookmarkStart w:id="1" w:name="_Hlk141956494"/>
            <w:r w:rsidRPr="00831007">
              <w:rPr>
                <w:color w:val="000000"/>
              </w:rPr>
              <w:t xml:space="preserve">F2-Fastion </w:t>
            </w:r>
            <w:proofErr w:type="spellStart"/>
            <w:r w:rsidRPr="00831007">
              <w:rPr>
                <w:color w:val="000000"/>
              </w:rPr>
              <w:t>Tab</w:t>
            </w:r>
            <w:proofErr w:type="spellEnd"/>
            <w:r w:rsidRPr="00831007">
              <w:rPr>
                <w:color w:val="000000"/>
              </w:rPr>
              <w:t xml:space="preserve"> 250</w:t>
            </w:r>
            <w:bookmarkEnd w:id="1"/>
          </w:p>
        </w:tc>
      </w:tr>
      <w:bookmarkEnd w:id="0"/>
    </w:tbl>
    <w:p w:rsidR="00C06094" w:rsidRPr="00831007" w:rsidRDefault="00C06094" w:rsidP="00C06094">
      <w:pPr>
        <w:jc w:val="both"/>
      </w:pPr>
    </w:p>
    <w:tbl>
      <w:tblPr>
        <w:tblW w:w="9639"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709"/>
        <w:gridCol w:w="4123"/>
        <w:gridCol w:w="4807"/>
      </w:tblGrid>
      <w:tr w:rsidR="00C06094" w:rsidRPr="00831007" w:rsidTr="005B04AA">
        <w:trPr>
          <w:trHeight w:val="621"/>
        </w:trPr>
        <w:tc>
          <w:tcPr>
            <w:tcW w:w="709" w:type="dxa"/>
            <w:shd w:val="clear" w:color="auto" w:fill="FFFFFF"/>
          </w:tcPr>
          <w:p w:rsidR="00C06094" w:rsidRPr="00831007" w:rsidRDefault="00C06094" w:rsidP="005B04AA">
            <w:pPr>
              <w:spacing w:line="100" w:lineRule="atLeast"/>
              <w:ind w:left="-9" w:firstLine="9"/>
              <w:jc w:val="center"/>
              <w:rPr>
                <w:b/>
                <w:bCs/>
                <w:color w:val="000000"/>
              </w:rPr>
            </w:pPr>
            <w:r w:rsidRPr="00831007">
              <w:rPr>
                <w:b/>
                <w:bCs/>
                <w:color w:val="000000"/>
              </w:rPr>
              <w:t>№ з/п</w:t>
            </w:r>
          </w:p>
        </w:tc>
        <w:tc>
          <w:tcPr>
            <w:tcW w:w="4123" w:type="dxa"/>
            <w:shd w:val="clear" w:color="auto" w:fill="FFFFFF"/>
            <w:vAlign w:val="center"/>
          </w:tcPr>
          <w:p w:rsidR="00C06094" w:rsidRPr="00831007" w:rsidRDefault="00C06094" w:rsidP="005B04AA">
            <w:pPr>
              <w:spacing w:line="100" w:lineRule="atLeast"/>
              <w:ind w:left="-9" w:firstLine="9"/>
              <w:jc w:val="center"/>
              <w:rPr>
                <w:b/>
                <w:bCs/>
                <w:color w:val="000000"/>
              </w:rPr>
            </w:pPr>
            <w:r w:rsidRPr="00831007">
              <w:rPr>
                <w:b/>
                <w:bCs/>
                <w:color w:val="000000"/>
              </w:rPr>
              <w:t>Параметр/характеристика</w:t>
            </w:r>
          </w:p>
        </w:tc>
        <w:tc>
          <w:tcPr>
            <w:tcW w:w="4807" w:type="dxa"/>
            <w:shd w:val="clear" w:color="auto" w:fill="FFFFFF"/>
            <w:vAlign w:val="center"/>
          </w:tcPr>
          <w:p w:rsidR="00C06094" w:rsidRPr="00831007" w:rsidRDefault="00C06094" w:rsidP="005B04AA">
            <w:pPr>
              <w:spacing w:line="100" w:lineRule="atLeast"/>
              <w:ind w:left="-9" w:firstLine="9"/>
              <w:jc w:val="center"/>
              <w:rPr>
                <w:b/>
                <w:bCs/>
                <w:color w:val="000000"/>
              </w:rPr>
            </w:pPr>
            <w:r w:rsidRPr="00831007">
              <w:rPr>
                <w:b/>
                <w:bCs/>
                <w:color w:val="000000"/>
              </w:rPr>
              <w:t>Значення параметру / характеристики</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1</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Модель</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CSB GP12170 (або еквівалент)</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2</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Номінальна напруга, В</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12 </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3</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Ємність, </w:t>
            </w:r>
            <w:proofErr w:type="spellStart"/>
            <w:r w:rsidRPr="00831007">
              <w:rPr>
                <w:color w:val="000000"/>
              </w:rPr>
              <w:t>Аг</w:t>
            </w:r>
            <w:proofErr w:type="spellEnd"/>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17 </w:t>
            </w:r>
            <w:proofErr w:type="spellStart"/>
            <w:r w:rsidRPr="00831007">
              <w:rPr>
                <w:color w:val="000000"/>
              </w:rPr>
              <w:t>Аг</w:t>
            </w:r>
            <w:proofErr w:type="spellEnd"/>
            <w:r w:rsidRPr="00831007">
              <w:rPr>
                <w:color w:val="000000"/>
              </w:rPr>
              <w:t xml:space="preserve"> при 20 год. розряді до </w:t>
            </w:r>
            <w:proofErr w:type="spellStart"/>
            <w:r w:rsidRPr="00831007">
              <w:rPr>
                <w:color w:val="000000"/>
              </w:rPr>
              <w:t>Uкін</w:t>
            </w:r>
            <w:proofErr w:type="spellEnd"/>
            <w:r w:rsidRPr="00831007">
              <w:rPr>
                <w:color w:val="000000"/>
              </w:rPr>
              <w:t xml:space="preserve"> - 1,75В/Ел при 25°С</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4</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Розмір (</w:t>
            </w:r>
            <w:proofErr w:type="spellStart"/>
            <w:r w:rsidRPr="00831007">
              <w:rPr>
                <w:color w:val="000000"/>
              </w:rPr>
              <w:t>ДхШхВ</w:t>
            </w:r>
            <w:proofErr w:type="spellEnd"/>
            <w:r w:rsidRPr="00831007">
              <w:rPr>
                <w:color w:val="000000"/>
              </w:rPr>
              <w:t>), мм</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181±2,0 x 76,2 ±1,0 x 167±2,0 (з клемами)</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5</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Вага, кг</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5,5 </w:t>
            </w:r>
          </w:p>
        </w:tc>
      </w:tr>
      <w:tr w:rsidR="00C06094" w:rsidRPr="00831007" w:rsidTr="005B04AA">
        <w:trPr>
          <w:trHeight w:val="343"/>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6</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Матеріал корпусу</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АВS  </w:t>
            </w:r>
          </w:p>
        </w:tc>
      </w:tr>
      <w:tr w:rsidR="00C06094" w:rsidRPr="00831007" w:rsidTr="005B04AA">
        <w:trPr>
          <w:trHeight w:val="343"/>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7</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Внутрішній опір, </w:t>
            </w:r>
            <w:proofErr w:type="spellStart"/>
            <w:r w:rsidRPr="00831007">
              <w:rPr>
                <w:color w:val="000000"/>
              </w:rPr>
              <w:t>мОм</w:t>
            </w:r>
            <w:proofErr w:type="spellEnd"/>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не більше 16</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8</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 xml:space="preserve"> Максимальний струм заряду, А</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5,1 (при заряді постійним струмом)</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9</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Час автономної роботи (строк служби), років</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не менше 5</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10</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Гарантія, місяців</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не менше 12</w:t>
            </w:r>
          </w:p>
        </w:tc>
      </w:tr>
      <w:tr w:rsidR="00C06094" w:rsidRPr="00831007" w:rsidTr="005B04AA">
        <w:trPr>
          <w:trHeight w:val="222"/>
        </w:trPr>
        <w:tc>
          <w:tcPr>
            <w:tcW w:w="709" w:type="dxa"/>
            <w:shd w:val="clear" w:color="auto" w:fill="FFFFFF"/>
            <w:vAlign w:val="center"/>
          </w:tcPr>
          <w:p w:rsidR="00C06094" w:rsidRPr="00831007" w:rsidRDefault="00C06094" w:rsidP="005B04AA">
            <w:pPr>
              <w:suppressAutoHyphens w:val="0"/>
              <w:spacing w:before="100" w:beforeAutospacing="1"/>
              <w:jc w:val="center"/>
              <w:rPr>
                <w:color w:val="000000"/>
              </w:rPr>
            </w:pPr>
            <w:r w:rsidRPr="00831007">
              <w:rPr>
                <w:color w:val="000000"/>
              </w:rPr>
              <w:t>11</w:t>
            </w:r>
          </w:p>
        </w:tc>
        <w:tc>
          <w:tcPr>
            <w:tcW w:w="4123"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Виводи (тип клеми акумулятора)</w:t>
            </w:r>
          </w:p>
        </w:tc>
        <w:tc>
          <w:tcPr>
            <w:tcW w:w="4807" w:type="dxa"/>
            <w:shd w:val="clear" w:color="auto" w:fill="FFFFFF"/>
            <w:vAlign w:val="center"/>
          </w:tcPr>
          <w:p w:rsidR="00C06094" w:rsidRPr="00831007" w:rsidRDefault="00C06094" w:rsidP="005B04AA">
            <w:pPr>
              <w:suppressAutoHyphens w:val="0"/>
              <w:spacing w:before="100" w:beforeAutospacing="1"/>
              <w:rPr>
                <w:color w:val="000000"/>
              </w:rPr>
            </w:pPr>
            <w:r w:rsidRPr="00831007">
              <w:rPr>
                <w:color w:val="000000"/>
              </w:rPr>
              <w:t>B1 під гайку та болт М5</w:t>
            </w:r>
          </w:p>
        </w:tc>
      </w:tr>
    </w:tbl>
    <w:p w:rsidR="00C06094" w:rsidRDefault="00C06094" w:rsidP="00C06094">
      <w:pPr>
        <w:ind w:firstLine="709"/>
        <w:jc w:val="both"/>
        <w:rPr>
          <w:sz w:val="28"/>
          <w:szCs w:val="28"/>
        </w:rPr>
      </w:pPr>
    </w:p>
    <w:p w:rsidR="00C06094" w:rsidRPr="0064353C" w:rsidRDefault="00C06094" w:rsidP="00C06094">
      <w:pPr>
        <w:ind w:firstLine="709"/>
        <w:jc w:val="both"/>
        <w:rPr>
          <w:sz w:val="28"/>
          <w:szCs w:val="28"/>
        </w:rPr>
      </w:pPr>
    </w:p>
    <w:p w:rsidR="00F56DE4" w:rsidRDefault="00F56DE4" w:rsidP="0064353C">
      <w:pPr>
        <w:ind w:firstLine="709"/>
        <w:contextualSpacing/>
        <w:jc w:val="both"/>
        <w:rPr>
          <w:sz w:val="28"/>
          <w:szCs w:val="28"/>
        </w:rPr>
      </w:pPr>
      <w:r>
        <w:rPr>
          <w:sz w:val="28"/>
          <w:szCs w:val="28"/>
        </w:rPr>
        <w:lastRenderedPageBreak/>
        <w:t>5. Обґрунтування розміру бюджетного призначення: розмір бюджетного призначення визначено Законом України «Про Державний бюджет України на 2025 рік» відповідно до бюджетного запиту на 2025 рік.</w:t>
      </w:r>
    </w:p>
    <w:p w:rsidR="00F56DE4" w:rsidRDefault="00F56DE4" w:rsidP="0064353C">
      <w:pPr>
        <w:ind w:firstLine="709"/>
        <w:contextualSpacing/>
        <w:jc w:val="both"/>
        <w:rPr>
          <w:sz w:val="28"/>
          <w:szCs w:val="28"/>
        </w:rPr>
      </w:pPr>
    </w:p>
    <w:p w:rsidR="00F56DE4" w:rsidRDefault="00F56DE4" w:rsidP="0064353C">
      <w:pPr>
        <w:ind w:firstLine="709"/>
        <w:contextualSpacing/>
        <w:jc w:val="both"/>
        <w:rPr>
          <w:sz w:val="28"/>
          <w:szCs w:val="28"/>
        </w:rPr>
      </w:pPr>
      <w:r>
        <w:rPr>
          <w:sz w:val="28"/>
          <w:szCs w:val="28"/>
        </w:rPr>
        <w:t xml:space="preserve">6. Очікувана вартість предмета закупівлі: </w:t>
      </w:r>
      <w:r w:rsidR="00C06094">
        <w:rPr>
          <w:sz w:val="28"/>
          <w:szCs w:val="28"/>
        </w:rPr>
        <w:t>56190,00</w:t>
      </w:r>
      <w:r w:rsidRPr="0064353C">
        <w:rPr>
          <w:sz w:val="28"/>
          <w:szCs w:val="28"/>
        </w:rPr>
        <w:t xml:space="preserve"> грн. (</w:t>
      </w:r>
      <w:r w:rsidR="00C06094">
        <w:rPr>
          <w:sz w:val="28"/>
          <w:szCs w:val="28"/>
        </w:rPr>
        <w:t>П’ятдесят шість</w:t>
      </w:r>
      <w:r w:rsidR="00A6202F">
        <w:rPr>
          <w:sz w:val="28"/>
          <w:szCs w:val="28"/>
        </w:rPr>
        <w:t xml:space="preserve"> тисяч с</w:t>
      </w:r>
      <w:r w:rsidR="00C06094">
        <w:rPr>
          <w:sz w:val="28"/>
          <w:szCs w:val="28"/>
        </w:rPr>
        <w:t>то</w:t>
      </w:r>
      <w:r w:rsidR="00A6202F">
        <w:rPr>
          <w:sz w:val="28"/>
          <w:szCs w:val="28"/>
        </w:rPr>
        <w:t xml:space="preserve"> дев’яносто </w:t>
      </w:r>
      <w:r w:rsidRPr="0064353C">
        <w:rPr>
          <w:sz w:val="28"/>
          <w:szCs w:val="28"/>
        </w:rPr>
        <w:t>грив</w:t>
      </w:r>
      <w:r w:rsidR="00C06094">
        <w:rPr>
          <w:sz w:val="28"/>
          <w:szCs w:val="28"/>
        </w:rPr>
        <w:t>ень</w:t>
      </w:r>
      <w:bookmarkStart w:id="2" w:name="_GoBack"/>
      <w:bookmarkEnd w:id="2"/>
      <w:r w:rsidRPr="0064353C">
        <w:rPr>
          <w:sz w:val="28"/>
          <w:szCs w:val="28"/>
        </w:rPr>
        <w:t xml:space="preserve"> </w:t>
      </w:r>
      <w:r w:rsidR="00A6202F">
        <w:rPr>
          <w:sz w:val="28"/>
          <w:szCs w:val="28"/>
        </w:rPr>
        <w:t>00</w:t>
      </w:r>
      <w:r w:rsidRPr="0064353C">
        <w:rPr>
          <w:sz w:val="28"/>
          <w:szCs w:val="28"/>
        </w:rPr>
        <w:t xml:space="preserve"> копійок) з ПДВ.</w:t>
      </w:r>
    </w:p>
    <w:p w:rsidR="00F56DE4" w:rsidRDefault="00F56DE4">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F5409"/>
    <w:rsid w:val="001F193F"/>
    <w:rsid w:val="00233594"/>
    <w:rsid w:val="002C557A"/>
    <w:rsid w:val="003723E1"/>
    <w:rsid w:val="003D312B"/>
    <w:rsid w:val="004E20B4"/>
    <w:rsid w:val="00580B3D"/>
    <w:rsid w:val="005C1972"/>
    <w:rsid w:val="0064353C"/>
    <w:rsid w:val="007638CC"/>
    <w:rsid w:val="007F4622"/>
    <w:rsid w:val="008000AF"/>
    <w:rsid w:val="008054B6"/>
    <w:rsid w:val="009A22BD"/>
    <w:rsid w:val="00A22D61"/>
    <w:rsid w:val="00A6202F"/>
    <w:rsid w:val="00C06094"/>
    <w:rsid w:val="00D044C6"/>
    <w:rsid w:val="00EE2790"/>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89E7D"/>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3263</Words>
  <Characters>1860</Characters>
  <Application>Microsoft Office Word</Application>
  <DocSecurity>0</DocSecurity>
  <Lines>15</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23</cp:revision>
  <cp:lastPrinted>2023-03-08T12:33:00Z</cp:lastPrinted>
  <dcterms:created xsi:type="dcterms:W3CDTF">2023-12-01T11:47:00Z</dcterms:created>
  <dcterms:modified xsi:type="dcterms:W3CDTF">2025-11-18T08:37:00Z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