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54C5" w:rsidRDefault="001C54C5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54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ДОМКРАТ ГІДРАВЛІЧНИЙ </w:t>
      </w:r>
    </w:p>
    <w:p w:rsidR="00B97195" w:rsidRPr="001C54C5" w:rsidRDefault="009E24EE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54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1C54C5" w:rsidRPr="001C54C5">
        <w:rPr>
          <w:rFonts w:ascii="Times New Roman" w:hAnsi="Times New Roman" w:cs="Times New Roman"/>
          <w:sz w:val="28"/>
          <w:szCs w:val="28"/>
        </w:rPr>
        <w:t>42410000-3 «ПІДІЙМАЛЬНО-ТРАНСПОРТУВАЛЬНЕ ОБЛАДНАННЯ</w:t>
      </w:r>
      <w:r w:rsidRPr="001C54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7519E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UA-2025-11-20-005841-a</w:t>
            </w:r>
          </w:p>
        </w:tc>
      </w:tr>
      <w:tr w:rsidR="006E7A9F" w:rsidRPr="007519E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1C54C5" w:rsidRPr="001C5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Домкрат гідравлічний</w:t>
            </w:r>
            <w:r w:rsidR="00AB2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1C54C5" w:rsidRPr="001C5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42410000-3 «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Підіймал</w:t>
            </w:r>
            <w:r w:rsidR="001C5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</w:t>
            </w:r>
            <w:proofErr w:type="spellEnd"/>
            <w:r w:rsidR="001C5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-транспортувальне обладнання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C54C5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</w:t>
            </w:r>
            <w:r w:rsidR="001C54C5">
              <w:rPr>
                <w:rFonts w:ascii="Times New Roman" w:hAnsi="Times New Roman" w:cs="Times New Roman"/>
                <w:sz w:val="28"/>
                <w:szCs w:val="28"/>
              </w:rPr>
              <w:t xml:space="preserve">оронами, але не </w:t>
            </w:r>
            <w:proofErr w:type="spellStart"/>
            <w:r w:rsidR="001C54C5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1C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1C54C5" w:rsidRPr="001C54C5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1C5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22B8" w:rsidRDefault="00DC0F0D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7D8B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Домкрат гідравлічний</w:t>
            </w:r>
            <w:r w:rsidR="00A022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1</w:t>
            </w:r>
            <w:r w:rsidR="00A022B8" w:rsidRPr="00A02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A022B8" w:rsidRPr="00A02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22B8" w:rsidRDefault="00A022B8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31A82" w:rsidRPr="00331A82" w:rsidRDefault="00331A82" w:rsidP="00331A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331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ВИМОГИ ЗАМОВНИКА ДО ТОВАРУ:</w:t>
            </w:r>
          </w:p>
          <w:p w:rsidR="00331A82" w:rsidRPr="00331A82" w:rsidRDefault="00331A82" w:rsidP="00011F56">
            <w:pPr>
              <w:widowControl w:val="0"/>
              <w:tabs>
                <w:tab w:val="left" w:pos="839"/>
              </w:tabs>
              <w:suppressAutoHyphens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331A82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Предмет закупівлі повинен відповідати нижче переліченим вимогам:</w:t>
            </w:r>
          </w:p>
          <w:p w:rsidR="00331A82" w:rsidRPr="00331A82" w:rsidRDefault="00331A82" w:rsidP="00011F56">
            <w:pPr>
              <w:suppressAutoHyphens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331A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вантажопідйомність – 5 т;</w:t>
            </w:r>
          </w:p>
          <w:p w:rsidR="00331A82" w:rsidRPr="00331A82" w:rsidRDefault="00331A82" w:rsidP="00011F56">
            <w:pPr>
              <w:suppressAutoHyphens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331A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висота підхвату – 90 мм;</w:t>
            </w:r>
          </w:p>
          <w:p w:rsidR="00331A82" w:rsidRPr="00331A82" w:rsidRDefault="00331A82" w:rsidP="00011F56">
            <w:pPr>
              <w:suppressAutoHyphens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331A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підйом автомобіля – до 500 мм.</w:t>
            </w:r>
          </w:p>
          <w:p w:rsidR="00331A82" w:rsidRPr="00331A82" w:rsidRDefault="00331A82" w:rsidP="00331A82">
            <w:pPr>
              <w:suppressAutoHyphens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31A82" w:rsidRPr="00331A82" w:rsidRDefault="00331A82" w:rsidP="00331A8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1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ПАКУВАННЯ:</w:t>
            </w:r>
          </w:p>
          <w:p w:rsidR="00331A82" w:rsidRPr="00331A82" w:rsidRDefault="00331A82" w:rsidP="00011F56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</w:pPr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Товар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передається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в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упаковці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, яка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унеможливлює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його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псування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або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пошкодження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під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час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його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транспортування</w:t>
            </w:r>
            <w:proofErr w:type="spellEnd"/>
            <w:r w:rsidRPr="00331A82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.</w:t>
            </w:r>
          </w:p>
          <w:p w:rsidR="00331A82" w:rsidRDefault="00331A82" w:rsidP="00331A82">
            <w:pPr>
              <w:suppressAutoHyphens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011F56" w:rsidRPr="00331A82" w:rsidRDefault="00011F56" w:rsidP="00331A82">
            <w:pPr>
              <w:suppressAutoHyphens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31A82" w:rsidRPr="00331A82" w:rsidRDefault="00331A82" w:rsidP="00331A82">
            <w:pPr>
              <w:shd w:val="clear" w:color="auto" w:fill="FFFFFF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331A82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 1. 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Якщо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технічна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специфікація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містить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посилання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конкретні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марку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виробника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конкретний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що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характеризує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продукт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послугу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певного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суб’єкта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господарювання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торгові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марки,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патенти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типи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конкретне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місце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походження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спосіб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таке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посилання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є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необхідним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обґрунтованим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після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посилання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слід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вважати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наявний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вираз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або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еквівалент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».</w:t>
            </w:r>
          </w:p>
          <w:p w:rsidR="00331A82" w:rsidRPr="00331A82" w:rsidRDefault="00331A82" w:rsidP="00331A82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</w:pPr>
          </w:p>
          <w:p w:rsidR="00873D7A" w:rsidRPr="001F4114" w:rsidRDefault="00331A82" w:rsidP="00331A82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31A82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 2.</w:t>
            </w:r>
            <w:r w:rsidRPr="00331A82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  <w:t xml:space="preserve"> </w:t>
            </w:r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Відповідно до вимог пункту 2 постанови Кабінету Міністрів України від 12 жовтня </w:t>
            </w:r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2022 року № 1178 «Про затвердження особливостей здійснення публічних </w:t>
            </w:r>
            <w:proofErr w:type="spellStart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Pr="00331A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замовникам забороняється</w:t>
            </w:r>
            <w:r w:rsidRPr="00331A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брання чинності цією постановою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F858E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F85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85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7519E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F85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85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bookmarkStart w:id="0" w:name="_GoBack"/>
            <w:bookmarkEnd w:id="0"/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</w:t>
            </w:r>
            <w:r w:rsidR="00591D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 інформація про ціни, що місти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1082B"/>
    <w:rsid w:val="00011F56"/>
    <w:rsid w:val="00033C6B"/>
    <w:rsid w:val="0009192E"/>
    <w:rsid w:val="00094606"/>
    <w:rsid w:val="000B5937"/>
    <w:rsid w:val="000C1787"/>
    <w:rsid w:val="000F072E"/>
    <w:rsid w:val="00131FD5"/>
    <w:rsid w:val="001372D9"/>
    <w:rsid w:val="00157F23"/>
    <w:rsid w:val="00171041"/>
    <w:rsid w:val="00183727"/>
    <w:rsid w:val="001864AF"/>
    <w:rsid w:val="00191441"/>
    <w:rsid w:val="0019145B"/>
    <w:rsid w:val="001C2ABA"/>
    <w:rsid w:val="001C54C5"/>
    <w:rsid w:val="001F4114"/>
    <w:rsid w:val="00224764"/>
    <w:rsid w:val="002624CA"/>
    <w:rsid w:val="00265650"/>
    <w:rsid w:val="00267A8E"/>
    <w:rsid w:val="00270970"/>
    <w:rsid w:val="002750DF"/>
    <w:rsid w:val="00277C0D"/>
    <w:rsid w:val="00290B6D"/>
    <w:rsid w:val="002B3D8E"/>
    <w:rsid w:val="00302C94"/>
    <w:rsid w:val="00331A82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2FE4"/>
    <w:rsid w:val="00415284"/>
    <w:rsid w:val="00487C99"/>
    <w:rsid w:val="004E13C6"/>
    <w:rsid w:val="004F0E01"/>
    <w:rsid w:val="004F1B60"/>
    <w:rsid w:val="004F710A"/>
    <w:rsid w:val="00507ED8"/>
    <w:rsid w:val="00510DB0"/>
    <w:rsid w:val="00530E89"/>
    <w:rsid w:val="00541959"/>
    <w:rsid w:val="005444AB"/>
    <w:rsid w:val="00550E86"/>
    <w:rsid w:val="00581A04"/>
    <w:rsid w:val="00591DF0"/>
    <w:rsid w:val="00595EE7"/>
    <w:rsid w:val="005D4D8E"/>
    <w:rsid w:val="005F1F60"/>
    <w:rsid w:val="0060100D"/>
    <w:rsid w:val="0060690E"/>
    <w:rsid w:val="00624E09"/>
    <w:rsid w:val="00625C7D"/>
    <w:rsid w:val="00630149"/>
    <w:rsid w:val="00640269"/>
    <w:rsid w:val="00652FCE"/>
    <w:rsid w:val="00665EBE"/>
    <w:rsid w:val="006B0A65"/>
    <w:rsid w:val="006E45A2"/>
    <w:rsid w:val="006E7A9F"/>
    <w:rsid w:val="006F50D3"/>
    <w:rsid w:val="00711A5F"/>
    <w:rsid w:val="007222AD"/>
    <w:rsid w:val="007307D4"/>
    <w:rsid w:val="007519EF"/>
    <w:rsid w:val="00766050"/>
    <w:rsid w:val="00772C64"/>
    <w:rsid w:val="007903AE"/>
    <w:rsid w:val="007C231B"/>
    <w:rsid w:val="007D6422"/>
    <w:rsid w:val="0080014F"/>
    <w:rsid w:val="00802634"/>
    <w:rsid w:val="00814518"/>
    <w:rsid w:val="00832FA7"/>
    <w:rsid w:val="00846B18"/>
    <w:rsid w:val="00860A40"/>
    <w:rsid w:val="00873D7A"/>
    <w:rsid w:val="008B4DA7"/>
    <w:rsid w:val="008D4CF7"/>
    <w:rsid w:val="008D5F30"/>
    <w:rsid w:val="008E5560"/>
    <w:rsid w:val="00907CBF"/>
    <w:rsid w:val="009260B0"/>
    <w:rsid w:val="00937340"/>
    <w:rsid w:val="00942829"/>
    <w:rsid w:val="009635D8"/>
    <w:rsid w:val="009878F0"/>
    <w:rsid w:val="009E24EE"/>
    <w:rsid w:val="009E61B3"/>
    <w:rsid w:val="00A022B8"/>
    <w:rsid w:val="00A469FA"/>
    <w:rsid w:val="00A55FD7"/>
    <w:rsid w:val="00A65875"/>
    <w:rsid w:val="00AA6395"/>
    <w:rsid w:val="00AB2E62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B7EA3"/>
    <w:rsid w:val="00BC080B"/>
    <w:rsid w:val="00BE0554"/>
    <w:rsid w:val="00CA15D2"/>
    <w:rsid w:val="00CA76CC"/>
    <w:rsid w:val="00CE04A2"/>
    <w:rsid w:val="00CE1E23"/>
    <w:rsid w:val="00CE398B"/>
    <w:rsid w:val="00CF42B1"/>
    <w:rsid w:val="00CF581D"/>
    <w:rsid w:val="00D20A83"/>
    <w:rsid w:val="00D33857"/>
    <w:rsid w:val="00D6227F"/>
    <w:rsid w:val="00D87206"/>
    <w:rsid w:val="00DC0F0D"/>
    <w:rsid w:val="00DC28E1"/>
    <w:rsid w:val="00E45C21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858EE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572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141</cp:revision>
  <dcterms:created xsi:type="dcterms:W3CDTF">2022-12-14T12:00:00Z</dcterms:created>
  <dcterms:modified xsi:type="dcterms:W3CDTF">2025-11-20T12:50:00Z</dcterms:modified>
</cp:coreProperties>
</file>