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8E" w:rsidRDefault="0003718E" w:rsidP="0003718E">
      <w:pPr>
        <w:rPr>
          <w:rFonts w:eastAsia="Times New Roman" w:cs="Times New Roman"/>
          <w:color w:val="000000"/>
          <w:sz w:val="24"/>
          <w:szCs w:val="24"/>
          <w:lang w:eastAsia="uk-UA"/>
        </w:rPr>
      </w:pPr>
    </w:p>
    <w:p w:rsidR="0003718E" w:rsidRPr="000070DA" w:rsidRDefault="0003718E" w:rsidP="0003718E">
      <w:pPr>
        <w:jc w:val="center"/>
        <w:rPr>
          <w:rFonts w:eastAsia="Times New Roman" w:cs="Times New Roman"/>
          <w:sz w:val="24"/>
          <w:szCs w:val="24"/>
          <w:lang w:eastAsia="uk-UA"/>
        </w:rPr>
      </w:pPr>
      <w:r w:rsidRPr="000070DA">
        <w:rPr>
          <w:rFonts w:eastAsia="Times New Roman" w:cs="Times New Roman"/>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w:t>
      </w:r>
      <w:r>
        <w:rPr>
          <w:rFonts w:eastAsia="Times New Roman" w:cs="Times New Roman"/>
          <w:color w:val="000000"/>
          <w:sz w:val="24"/>
          <w:szCs w:val="24"/>
          <w:lang w:eastAsia="uk-UA"/>
        </w:rPr>
        <w:t xml:space="preserve"> </w:t>
      </w:r>
      <w:r w:rsidRPr="000070DA">
        <w:rPr>
          <w:rFonts w:eastAsia="Times New Roman" w:cs="Times New Roman"/>
          <w:color w:val="000000"/>
          <w:sz w:val="24"/>
          <w:szCs w:val="24"/>
          <w:lang w:eastAsia="uk-UA"/>
        </w:rPr>
        <w:t>ПРЕДМЕТА ЗАКУПІВЛІ</w:t>
      </w:r>
    </w:p>
    <w:p w:rsidR="005527AD" w:rsidRPr="000D36A4" w:rsidRDefault="005527AD" w:rsidP="005527AD">
      <w:pPr>
        <w:spacing w:before="100" w:beforeAutospacing="1" w:after="100" w:afterAutospacing="1"/>
        <w:jc w:val="both"/>
        <w:rPr>
          <w:rStyle w:val="a6"/>
          <w:bCs/>
          <w:sz w:val="26"/>
          <w:szCs w:val="26"/>
        </w:rPr>
      </w:pPr>
      <w:r w:rsidRPr="000D36A4">
        <w:rPr>
          <w:rStyle w:val="a6"/>
          <w:bCs/>
          <w:sz w:val="26"/>
          <w:szCs w:val="26"/>
        </w:rPr>
        <w:t>(оприлюднюється на виконання постанови КМУ № 710 від 11.10.2016 «Про ефективне використання державних коштів» (зі змінами))</w:t>
      </w:r>
    </w:p>
    <w:p w:rsidR="005527AD" w:rsidRPr="000D36A4" w:rsidRDefault="005527AD" w:rsidP="005527AD">
      <w:pPr>
        <w:spacing w:before="100" w:beforeAutospacing="1" w:after="100" w:afterAutospacing="1"/>
        <w:jc w:val="both"/>
        <w:rPr>
          <w:rFonts w:eastAsia="Times New Roman"/>
          <w:b/>
          <w:i/>
          <w:color w:val="000000"/>
          <w:sz w:val="26"/>
          <w:szCs w:val="26"/>
          <w:u w:val="single"/>
          <w:lang w:eastAsia="uk-UA"/>
        </w:rPr>
      </w:pPr>
      <w:r w:rsidRPr="000D36A4">
        <w:rPr>
          <w:rStyle w:val="a6"/>
          <w:b/>
          <w:bCs/>
          <w:sz w:val="26"/>
          <w:szCs w:val="26"/>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0D36A4">
        <w:rPr>
          <w:rStyle w:val="a6"/>
          <w:b/>
          <w:bCs/>
          <w:sz w:val="26"/>
          <w:szCs w:val="26"/>
          <w:u w:val="single"/>
        </w:rPr>
        <w:t>Держмитслужба м. Київ , вул. Дегтярівська, 11г, ЄДРПОУ 43115923.</w:t>
      </w:r>
    </w:p>
    <w:p w:rsidR="005527AD" w:rsidRPr="000D36A4" w:rsidRDefault="005527AD" w:rsidP="005527AD">
      <w:pPr>
        <w:widowControl w:val="0"/>
        <w:jc w:val="both"/>
        <w:rPr>
          <w:sz w:val="26"/>
          <w:szCs w:val="26"/>
        </w:rPr>
      </w:pPr>
      <w:r w:rsidRPr="000D36A4">
        <w:rPr>
          <w:b/>
          <w:sz w:val="26"/>
          <w:szCs w:val="26"/>
        </w:rPr>
        <w:t>Вид та ідентифікатор процедури закупівлі</w:t>
      </w:r>
      <w:r w:rsidRPr="00B50CD5">
        <w:rPr>
          <w:b/>
          <w:bCs/>
          <w:sz w:val="26"/>
          <w:szCs w:val="26"/>
        </w:rPr>
        <w:t>:</w:t>
      </w:r>
      <w:r w:rsidRPr="00B50CD5">
        <w:rPr>
          <w:sz w:val="26"/>
          <w:szCs w:val="26"/>
        </w:rPr>
        <w:t xml:space="preserve"> </w:t>
      </w:r>
      <w:r w:rsidRPr="00B50CD5">
        <w:rPr>
          <w:sz w:val="26"/>
          <w:szCs w:val="26"/>
          <w:u w:val="single"/>
          <w:lang w:val="en-US"/>
        </w:rPr>
        <w:t>UA</w:t>
      </w:r>
      <w:r w:rsidRPr="00B50CD5">
        <w:rPr>
          <w:sz w:val="26"/>
          <w:szCs w:val="26"/>
          <w:u w:val="single"/>
          <w:lang w:val="ru-RU"/>
        </w:rPr>
        <w:t>-20</w:t>
      </w:r>
      <w:r w:rsidR="000D36A4" w:rsidRPr="00B50CD5">
        <w:rPr>
          <w:sz w:val="26"/>
          <w:szCs w:val="26"/>
          <w:u w:val="single"/>
          <w:lang w:val="ru-RU"/>
        </w:rPr>
        <w:t>25</w:t>
      </w:r>
      <w:r w:rsidRPr="00B50CD5">
        <w:rPr>
          <w:sz w:val="26"/>
          <w:szCs w:val="26"/>
          <w:u w:val="single"/>
          <w:lang w:val="ru-RU"/>
        </w:rPr>
        <w:t>-</w:t>
      </w:r>
      <w:r w:rsidR="00B50CD5" w:rsidRPr="00B50CD5">
        <w:rPr>
          <w:sz w:val="26"/>
          <w:szCs w:val="26"/>
          <w:u w:val="single"/>
          <w:lang w:val="en-US"/>
        </w:rPr>
        <w:t>12</w:t>
      </w:r>
      <w:r w:rsidRPr="00B50CD5">
        <w:rPr>
          <w:sz w:val="26"/>
          <w:szCs w:val="26"/>
          <w:u w:val="single"/>
          <w:lang w:val="ru-RU"/>
        </w:rPr>
        <w:t>-</w:t>
      </w:r>
      <w:r w:rsidR="00B50CD5" w:rsidRPr="00B50CD5">
        <w:rPr>
          <w:sz w:val="26"/>
          <w:szCs w:val="26"/>
          <w:u w:val="single"/>
          <w:lang w:val="en-US"/>
        </w:rPr>
        <w:t>02</w:t>
      </w:r>
      <w:r w:rsidRPr="00B50CD5">
        <w:rPr>
          <w:sz w:val="26"/>
          <w:szCs w:val="26"/>
          <w:u w:val="single"/>
          <w:lang w:val="ru-RU"/>
        </w:rPr>
        <w:t>-</w:t>
      </w:r>
      <w:r w:rsidR="00667FF9" w:rsidRPr="00B50CD5">
        <w:rPr>
          <w:sz w:val="26"/>
          <w:szCs w:val="26"/>
          <w:u w:val="single"/>
          <w:lang w:val="ru-RU"/>
        </w:rPr>
        <w:t>00</w:t>
      </w:r>
      <w:r w:rsidR="00B50CD5" w:rsidRPr="00B50CD5">
        <w:rPr>
          <w:sz w:val="26"/>
          <w:szCs w:val="26"/>
          <w:u w:val="single"/>
          <w:lang w:val="en-US"/>
        </w:rPr>
        <w:t>9297</w:t>
      </w:r>
      <w:r w:rsidRPr="00B50CD5">
        <w:rPr>
          <w:sz w:val="26"/>
          <w:szCs w:val="26"/>
          <w:u w:val="single"/>
          <w:lang w:val="ru-RU"/>
        </w:rPr>
        <w:t>-</w:t>
      </w:r>
      <w:r w:rsidRPr="00B50CD5">
        <w:rPr>
          <w:sz w:val="26"/>
          <w:szCs w:val="26"/>
          <w:u w:val="single"/>
          <w:lang w:val="en-US"/>
        </w:rPr>
        <w:t>a</w:t>
      </w:r>
      <w:r w:rsidRPr="00B50CD5">
        <w:rPr>
          <w:sz w:val="26"/>
          <w:szCs w:val="26"/>
          <w:u w:val="single"/>
        </w:rPr>
        <w:t xml:space="preserve"> </w:t>
      </w:r>
      <w:r w:rsidRPr="00B50CD5">
        <w:rPr>
          <w:sz w:val="26"/>
          <w:szCs w:val="26"/>
        </w:rPr>
        <w:t>.</w:t>
      </w:r>
      <w:bookmarkStart w:id="0" w:name="_GoBack"/>
      <w:bookmarkEnd w:id="0"/>
    </w:p>
    <w:p w:rsidR="0003718E" w:rsidRPr="000D36A4" w:rsidRDefault="0003718E" w:rsidP="0003718E">
      <w:pPr>
        <w:rPr>
          <w:sz w:val="26"/>
          <w:szCs w:val="26"/>
        </w:rPr>
      </w:pPr>
    </w:p>
    <w:p w:rsidR="004875A3" w:rsidRDefault="00667FF9" w:rsidP="00667FF9">
      <w:pPr>
        <w:pBdr>
          <w:top w:val="nil"/>
          <w:left w:val="nil"/>
          <w:bottom w:val="nil"/>
          <w:right w:val="nil"/>
          <w:between w:val="nil"/>
        </w:pBdr>
        <w:ind w:firstLine="851"/>
        <w:jc w:val="both"/>
        <w:rPr>
          <w:b/>
          <w:sz w:val="26"/>
          <w:szCs w:val="26"/>
        </w:rPr>
      </w:pPr>
      <w:r w:rsidRPr="000D36A4">
        <w:rPr>
          <w:rFonts w:cs="Times New Roman"/>
          <w:sz w:val="26"/>
          <w:szCs w:val="26"/>
        </w:rPr>
        <w:t>1.</w:t>
      </w:r>
      <w:r w:rsidR="0003718E" w:rsidRPr="000D36A4">
        <w:rPr>
          <w:rFonts w:cs="Times New Roman"/>
          <w:sz w:val="26"/>
          <w:szCs w:val="26"/>
        </w:rPr>
        <w:t>Предмет закупівлі: (зазначається назва предмета закупівлі та код ДК 021:2015 із застосуванням Єдиного закупівельного словника (див. пункт 2.3 розділу ІІ Порядку організації планування та проведення публічних закупівель в Державній митній службі України)).</w:t>
      </w:r>
      <w:r w:rsidRPr="000D36A4">
        <w:rPr>
          <w:b/>
          <w:sz w:val="26"/>
          <w:szCs w:val="26"/>
        </w:rPr>
        <w:t xml:space="preserve"> </w:t>
      </w:r>
    </w:p>
    <w:p w:rsidR="00667FF9" w:rsidRPr="000D36A4" w:rsidRDefault="004875A3" w:rsidP="00667FF9">
      <w:pPr>
        <w:pBdr>
          <w:top w:val="nil"/>
          <w:left w:val="nil"/>
          <w:bottom w:val="nil"/>
          <w:right w:val="nil"/>
          <w:between w:val="nil"/>
        </w:pBdr>
        <w:ind w:firstLine="851"/>
        <w:jc w:val="both"/>
        <w:rPr>
          <w:b/>
          <w:sz w:val="26"/>
          <w:szCs w:val="26"/>
        </w:rPr>
      </w:pPr>
      <w:r>
        <w:rPr>
          <w:sz w:val="26"/>
          <w:szCs w:val="26"/>
        </w:rPr>
        <w:t>П</w:t>
      </w:r>
      <w:r w:rsidRPr="004875A3">
        <w:rPr>
          <w:sz w:val="26"/>
          <w:szCs w:val="26"/>
        </w:rPr>
        <w:t>ослуги з передачі програмної продукції ESET PROTECT Enterprise On-prem для захисту 12 350 об’єктів (модернізація)</w:t>
      </w:r>
      <w:r w:rsidR="00667FF9" w:rsidRPr="000D36A4">
        <w:rPr>
          <w:sz w:val="26"/>
          <w:szCs w:val="26"/>
        </w:rPr>
        <w:t>за кодом ДК 021:2015: 48760000-3 (Пакети програмного забезпечення для захисту від вірусів)</w:t>
      </w:r>
      <w:r w:rsidR="000E5E69">
        <w:rPr>
          <w:sz w:val="26"/>
          <w:szCs w:val="26"/>
        </w:rPr>
        <w:t>.</w:t>
      </w:r>
    </w:p>
    <w:p w:rsidR="00667FF9" w:rsidRPr="000D36A4" w:rsidRDefault="00667FF9" w:rsidP="00667FF9">
      <w:pPr>
        <w:ind w:left="426"/>
        <w:jc w:val="both"/>
        <w:rPr>
          <w:rFonts w:cs="Times New Roman"/>
          <w:sz w:val="26"/>
          <w:szCs w:val="26"/>
        </w:rPr>
      </w:pPr>
    </w:p>
    <w:p w:rsidR="0003718E" w:rsidRPr="000D36A4" w:rsidRDefault="0003718E" w:rsidP="00667FF9">
      <w:pPr>
        <w:pStyle w:val="a4"/>
        <w:numPr>
          <w:ilvl w:val="0"/>
          <w:numId w:val="11"/>
        </w:numPr>
        <w:ind w:left="0" w:firstLine="851"/>
        <w:jc w:val="both"/>
        <w:rPr>
          <w:rFonts w:cs="Times New Roman"/>
          <w:sz w:val="26"/>
          <w:szCs w:val="26"/>
        </w:rPr>
      </w:pPr>
      <w:r w:rsidRPr="000D36A4">
        <w:rPr>
          <w:rFonts w:cs="Times New Roman"/>
          <w:sz w:val="26"/>
          <w:szCs w:val="26"/>
        </w:rPr>
        <w:t>Обґрунтування доцільності закупівлі (чим зумовлена необхідність закупівлі, мета закупівлі, посилання на вимоги чинного законодавства).</w:t>
      </w:r>
    </w:p>
    <w:p w:rsidR="004875A3" w:rsidRPr="004875A3" w:rsidRDefault="004875A3" w:rsidP="004875A3">
      <w:pPr>
        <w:ind w:firstLine="426"/>
        <w:jc w:val="both"/>
        <w:rPr>
          <w:rFonts w:ascii="TimesNewRomanPS-ItalicMT" w:hAnsi="TimesNewRomanPS-ItalicMT" w:cs="TimesNewRomanPS-ItalicMT"/>
          <w:iCs/>
          <w:sz w:val="26"/>
          <w:szCs w:val="26"/>
        </w:rPr>
      </w:pPr>
      <w:r w:rsidRPr="004875A3">
        <w:rPr>
          <w:rFonts w:ascii="TimesNewRomanPS-ItalicMT" w:hAnsi="TimesNewRomanPS-ItalicMT" w:cs="TimesNewRomanPS-ItalicMT"/>
          <w:iCs/>
          <w:sz w:val="26"/>
          <w:szCs w:val="26"/>
        </w:rPr>
        <w:t>За результатами обстеження мережевої інфраструктури Держмитслужби, проведеного Департаментом кіберзахисту інформаційних систем та безпеки Служби безпеки України (лист від 03.02.2025 № 30/4/2-1158ДСК), було рекомендовано вжити невідкладних заходів щодо підвищення кіберстійкості мережевої інфраструктури, зокрема шляхом налаштування ефективного контролю за станом захисту та функціонування систем і персональних комп’ютерів користувачів із використанням рішень класу EDR (Endpoint Detection and Response).</w:t>
      </w:r>
    </w:p>
    <w:p w:rsidR="004875A3" w:rsidRPr="004875A3" w:rsidRDefault="004875A3" w:rsidP="004875A3">
      <w:pPr>
        <w:ind w:firstLine="426"/>
        <w:jc w:val="both"/>
        <w:rPr>
          <w:rFonts w:ascii="TimesNewRomanPS-ItalicMT" w:hAnsi="TimesNewRomanPS-ItalicMT" w:cs="TimesNewRomanPS-ItalicMT"/>
          <w:iCs/>
          <w:sz w:val="26"/>
          <w:szCs w:val="26"/>
        </w:rPr>
      </w:pPr>
      <w:r w:rsidRPr="004875A3">
        <w:rPr>
          <w:rFonts w:ascii="TimesNewRomanPS-ItalicMT" w:hAnsi="TimesNewRomanPS-ItalicMT" w:cs="TimesNewRomanPS-ItalicMT"/>
          <w:iCs/>
          <w:sz w:val="26"/>
          <w:szCs w:val="26"/>
        </w:rPr>
        <w:t>З метою реалізації зазначених рекомендацій та з огляду на те, що в Держмитслужбі розгорнуто антивірусний комплекс ESET Endpoint Protect Entry, Держмитслужба опрацювала питання можливості інтеграції існуючого рішення до рішення класу EDR: компанією ESET пропонується програмне рішення класу EDR – ESET PROTECT Enterprise, яке може бути інтегроване з наявним у Держмитслужбі комплексом засобів кіберзахисту ESET Endpoint Protect Entry та функціонувати у взаємодії з ним.</w:t>
      </w:r>
    </w:p>
    <w:p w:rsidR="004875A3" w:rsidRPr="004875A3" w:rsidRDefault="004875A3" w:rsidP="004875A3">
      <w:pPr>
        <w:ind w:firstLine="426"/>
        <w:jc w:val="both"/>
        <w:rPr>
          <w:rFonts w:ascii="TimesNewRomanPS-ItalicMT" w:hAnsi="TimesNewRomanPS-ItalicMT" w:cs="TimesNewRomanPS-ItalicMT"/>
          <w:iCs/>
          <w:sz w:val="26"/>
          <w:szCs w:val="26"/>
        </w:rPr>
      </w:pPr>
      <w:r w:rsidRPr="004875A3">
        <w:rPr>
          <w:rFonts w:ascii="TimesNewRomanPS-ItalicMT" w:hAnsi="TimesNewRomanPS-ItalicMT" w:cs="TimesNewRomanPS-ItalicMT"/>
          <w:iCs/>
          <w:sz w:val="26"/>
          <w:szCs w:val="26"/>
        </w:rPr>
        <w:t>На сьогодні в Державній митній службі України на 12 350 кінцевих пристроях розгорнуто діюче комплексне рішення з кіберзахисту ESET Endpoint Protect Entry. Перехід на рішення ESET PROTECT Enterprise не потребуватиме встановлення нового програмного забезпечення на кінцеві пристрої, оскільки інтеграція здійснюється на рівні центрального серверного компонента та політик безпеки. Це значно спрощує процес впровадження, мінімізує навантаження на користувачів та ІТ-персонал, а також скорочує терміни міграції.</w:t>
      </w:r>
    </w:p>
    <w:p w:rsidR="004875A3" w:rsidRPr="004875A3" w:rsidRDefault="004875A3" w:rsidP="004875A3">
      <w:pPr>
        <w:ind w:firstLine="426"/>
        <w:jc w:val="both"/>
        <w:rPr>
          <w:rFonts w:ascii="TimesNewRomanPS-ItalicMT" w:hAnsi="TimesNewRomanPS-ItalicMT" w:cs="TimesNewRomanPS-ItalicMT"/>
          <w:iCs/>
          <w:sz w:val="26"/>
          <w:szCs w:val="26"/>
        </w:rPr>
      </w:pPr>
      <w:r w:rsidRPr="004875A3">
        <w:rPr>
          <w:rFonts w:ascii="TimesNewRomanPS-ItalicMT" w:hAnsi="TimesNewRomanPS-ItalicMT" w:cs="TimesNewRomanPS-ItalicMT"/>
          <w:iCs/>
          <w:sz w:val="26"/>
          <w:szCs w:val="26"/>
        </w:rPr>
        <w:t>Зазначена інтеграція також забезпечить відповідність наступним вимогам:</w:t>
      </w:r>
    </w:p>
    <w:p w:rsidR="004875A3" w:rsidRPr="004875A3" w:rsidRDefault="004875A3" w:rsidP="004875A3">
      <w:pPr>
        <w:ind w:firstLine="426"/>
        <w:jc w:val="both"/>
        <w:rPr>
          <w:rFonts w:ascii="TimesNewRomanPS-ItalicMT" w:hAnsi="TimesNewRomanPS-ItalicMT" w:cs="TimesNewRomanPS-ItalicMT"/>
          <w:iCs/>
          <w:sz w:val="26"/>
          <w:szCs w:val="26"/>
        </w:rPr>
      </w:pPr>
      <w:r w:rsidRPr="004875A3">
        <w:rPr>
          <w:rFonts w:ascii="TimesNewRomanPS-ItalicMT" w:hAnsi="TimesNewRomanPS-ItalicMT" w:cs="TimesNewRomanPS-ItalicMT"/>
          <w:iCs/>
          <w:sz w:val="26"/>
          <w:szCs w:val="26"/>
        </w:rPr>
        <w:t>•</w:t>
      </w:r>
      <w:r w:rsidRPr="004875A3">
        <w:rPr>
          <w:rFonts w:ascii="TimesNewRomanPS-ItalicMT" w:hAnsi="TimesNewRomanPS-ItalicMT" w:cs="TimesNewRomanPS-ItalicMT"/>
          <w:iCs/>
          <w:sz w:val="26"/>
          <w:szCs w:val="26"/>
        </w:rPr>
        <w:tab/>
        <w:t>абзацу 16 пункту 7 додатка до Загальних вимог до кіберзахисту об’єктів критичної інфраструктури, затверджених постановою Кабінету Міністрів України від 19 червня 2019 р. № 518 (щодо реєстрації та аудиту подій, а також моніторингу ознак кібератак або кіберінцидентів);</w:t>
      </w:r>
    </w:p>
    <w:p w:rsidR="004875A3" w:rsidRPr="004875A3" w:rsidRDefault="004875A3" w:rsidP="004875A3">
      <w:pPr>
        <w:ind w:firstLine="426"/>
        <w:jc w:val="both"/>
        <w:rPr>
          <w:rFonts w:ascii="TimesNewRomanPS-ItalicMT" w:hAnsi="TimesNewRomanPS-ItalicMT" w:cs="TimesNewRomanPS-ItalicMT"/>
          <w:iCs/>
          <w:sz w:val="26"/>
          <w:szCs w:val="26"/>
        </w:rPr>
      </w:pPr>
      <w:r w:rsidRPr="004875A3">
        <w:rPr>
          <w:rFonts w:ascii="TimesNewRomanPS-ItalicMT" w:hAnsi="TimesNewRomanPS-ItalicMT" w:cs="TimesNewRomanPS-ItalicMT"/>
          <w:iCs/>
          <w:sz w:val="26"/>
          <w:szCs w:val="26"/>
        </w:rPr>
        <w:lastRenderedPageBreak/>
        <w:t>•</w:t>
      </w:r>
      <w:r w:rsidRPr="004875A3">
        <w:rPr>
          <w:rFonts w:ascii="TimesNewRomanPS-ItalicMT" w:hAnsi="TimesNewRomanPS-ItalicMT" w:cs="TimesNewRomanPS-ItalicMT"/>
          <w:iCs/>
          <w:sz w:val="26"/>
          <w:szCs w:val="26"/>
        </w:rPr>
        <w:tab/>
        <w:t>пункту 82 Базового профілю безпеки системи, де обробляється відкрита або конфіденційна інформація, затвердженого наказом Адміністрації Держспецзв’язку від 30.06.2025 № 409;</w:t>
      </w:r>
    </w:p>
    <w:p w:rsidR="004875A3" w:rsidRPr="004875A3" w:rsidRDefault="004875A3" w:rsidP="004875A3">
      <w:pPr>
        <w:ind w:firstLine="426"/>
        <w:jc w:val="both"/>
        <w:rPr>
          <w:rFonts w:ascii="TimesNewRomanPS-ItalicMT" w:hAnsi="TimesNewRomanPS-ItalicMT" w:cs="TimesNewRomanPS-ItalicMT"/>
          <w:iCs/>
          <w:sz w:val="26"/>
          <w:szCs w:val="26"/>
        </w:rPr>
      </w:pPr>
      <w:r w:rsidRPr="004875A3">
        <w:rPr>
          <w:rFonts w:ascii="TimesNewRomanPS-ItalicMT" w:hAnsi="TimesNewRomanPS-ItalicMT" w:cs="TimesNewRomanPS-ItalicMT"/>
          <w:iCs/>
          <w:sz w:val="26"/>
          <w:szCs w:val="26"/>
        </w:rPr>
        <w:t>•</w:t>
      </w:r>
      <w:r w:rsidRPr="004875A3">
        <w:rPr>
          <w:rFonts w:ascii="TimesNewRomanPS-ItalicMT" w:hAnsi="TimesNewRomanPS-ItalicMT" w:cs="TimesNewRomanPS-ItalicMT"/>
          <w:iCs/>
          <w:sz w:val="26"/>
          <w:szCs w:val="26"/>
        </w:rPr>
        <w:tab/>
        <w:t>рекомендацій NIST (National Institute of Standards and Technology), зокрема NIST SP 800-53 Rev. 5 та NIST Cybersecurity Framework (CSF), у частині багаторівневого захисту, моніторингу кінцевих точок та автоматизованого реагування на кіберінциденти.</w:t>
      </w:r>
    </w:p>
    <w:p w:rsidR="004875A3" w:rsidRPr="004875A3" w:rsidRDefault="004875A3" w:rsidP="004875A3">
      <w:pPr>
        <w:ind w:firstLine="426"/>
        <w:jc w:val="both"/>
        <w:rPr>
          <w:rFonts w:ascii="TimesNewRomanPS-ItalicMT" w:hAnsi="TimesNewRomanPS-ItalicMT" w:cs="TimesNewRomanPS-ItalicMT"/>
          <w:iCs/>
          <w:sz w:val="26"/>
          <w:szCs w:val="26"/>
        </w:rPr>
      </w:pPr>
      <w:r w:rsidRPr="004875A3">
        <w:rPr>
          <w:rFonts w:ascii="TimesNewRomanPS-ItalicMT" w:hAnsi="TimesNewRomanPS-ItalicMT" w:cs="TimesNewRomanPS-ItalicMT"/>
          <w:iCs/>
          <w:sz w:val="26"/>
          <w:szCs w:val="26"/>
        </w:rPr>
        <w:t>Впровадження системи EDR у рамках функціоналу ESET PROTECT Enterprise є необхідним для підвищення рівня кіберзахисту, оскільки:</w:t>
      </w:r>
    </w:p>
    <w:p w:rsidR="004875A3" w:rsidRPr="004875A3" w:rsidRDefault="004875A3" w:rsidP="004875A3">
      <w:pPr>
        <w:ind w:firstLine="426"/>
        <w:jc w:val="both"/>
        <w:rPr>
          <w:rFonts w:ascii="TimesNewRomanPS-ItalicMT" w:hAnsi="TimesNewRomanPS-ItalicMT" w:cs="TimesNewRomanPS-ItalicMT"/>
          <w:iCs/>
          <w:sz w:val="26"/>
          <w:szCs w:val="26"/>
        </w:rPr>
      </w:pPr>
      <w:r w:rsidRPr="004875A3">
        <w:rPr>
          <w:rFonts w:ascii="TimesNewRomanPS-ItalicMT" w:hAnsi="TimesNewRomanPS-ItalicMT" w:cs="TimesNewRomanPS-ItalicMT"/>
          <w:iCs/>
          <w:sz w:val="26"/>
          <w:szCs w:val="26"/>
        </w:rPr>
        <w:t>•</w:t>
      </w:r>
      <w:r w:rsidRPr="004875A3">
        <w:rPr>
          <w:rFonts w:ascii="TimesNewRomanPS-ItalicMT" w:hAnsi="TimesNewRomanPS-ItalicMT" w:cs="TimesNewRomanPS-ItalicMT"/>
          <w:iCs/>
          <w:sz w:val="26"/>
          <w:szCs w:val="26"/>
        </w:rPr>
        <w:tab/>
        <w:t>EDR забезпечує додатковий захист у разі порушення безпеки, виявляючи та усуваючи загрози, що долають периметр;</w:t>
      </w:r>
    </w:p>
    <w:p w:rsidR="004875A3" w:rsidRPr="004875A3" w:rsidRDefault="004875A3" w:rsidP="004875A3">
      <w:pPr>
        <w:ind w:firstLine="426"/>
        <w:jc w:val="both"/>
        <w:rPr>
          <w:rFonts w:ascii="TimesNewRomanPS-ItalicMT" w:hAnsi="TimesNewRomanPS-ItalicMT" w:cs="TimesNewRomanPS-ItalicMT"/>
          <w:iCs/>
          <w:sz w:val="26"/>
          <w:szCs w:val="26"/>
        </w:rPr>
      </w:pPr>
      <w:r w:rsidRPr="004875A3">
        <w:rPr>
          <w:rFonts w:ascii="TimesNewRomanPS-ItalicMT" w:hAnsi="TimesNewRomanPS-ItalicMT" w:cs="TimesNewRomanPS-ItalicMT"/>
          <w:iCs/>
          <w:sz w:val="26"/>
          <w:szCs w:val="26"/>
        </w:rPr>
        <w:t>•</w:t>
      </w:r>
      <w:r w:rsidRPr="004875A3">
        <w:rPr>
          <w:rFonts w:ascii="TimesNewRomanPS-ItalicMT" w:hAnsi="TimesNewRomanPS-ItalicMT" w:cs="TimesNewRomanPS-ItalicMT"/>
          <w:iCs/>
          <w:sz w:val="26"/>
          <w:szCs w:val="26"/>
        </w:rPr>
        <w:tab/>
        <w:t>дає змогу відстежувати невідомі загрози шляхом аналізу поведінки користувачів і процесів на кінцевих пристроях, виявляючи індикатори компрометації (IOC);</w:t>
      </w:r>
    </w:p>
    <w:p w:rsidR="004875A3" w:rsidRPr="004875A3" w:rsidRDefault="004875A3" w:rsidP="004875A3">
      <w:pPr>
        <w:ind w:firstLine="426"/>
        <w:jc w:val="both"/>
        <w:rPr>
          <w:rFonts w:ascii="TimesNewRomanPS-ItalicMT" w:hAnsi="TimesNewRomanPS-ItalicMT" w:cs="TimesNewRomanPS-ItalicMT"/>
          <w:iCs/>
          <w:sz w:val="26"/>
          <w:szCs w:val="26"/>
        </w:rPr>
      </w:pPr>
      <w:r w:rsidRPr="004875A3">
        <w:rPr>
          <w:rFonts w:ascii="TimesNewRomanPS-ItalicMT" w:hAnsi="TimesNewRomanPS-ItalicMT" w:cs="TimesNewRomanPS-ItalicMT"/>
          <w:iCs/>
          <w:sz w:val="26"/>
          <w:szCs w:val="26"/>
        </w:rPr>
        <w:t>•</w:t>
      </w:r>
      <w:r w:rsidRPr="004875A3">
        <w:rPr>
          <w:rFonts w:ascii="TimesNewRomanPS-ItalicMT" w:hAnsi="TimesNewRomanPS-ItalicMT" w:cs="TimesNewRomanPS-ItalicMT"/>
          <w:iCs/>
          <w:sz w:val="26"/>
          <w:szCs w:val="26"/>
        </w:rPr>
        <w:tab/>
        <w:t>забезпечує повну видимість подій на кінцевих точках і автоматизацію реагування, що скорочує час реагування та запобігає поширенню атак у корпоративній мережі;</w:t>
      </w:r>
    </w:p>
    <w:p w:rsidR="004875A3" w:rsidRPr="004875A3" w:rsidRDefault="004875A3" w:rsidP="004875A3">
      <w:pPr>
        <w:ind w:firstLine="426"/>
        <w:jc w:val="both"/>
        <w:rPr>
          <w:rFonts w:ascii="TimesNewRomanPS-ItalicMT" w:hAnsi="TimesNewRomanPS-ItalicMT" w:cs="TimesNewRomanPS-ItalicMT"/>
          <w:iCs/>
          <w:sz w:val="26"/>
          <w:szCs w:val="26"/>
        </w:rPr>
      </w:pPr>
      <w:r w:rsidRPr="004875A3">
        <w:rPr>
          <w:rFonts w:ascii="TimesNewRomanPS-ItalicMT" w:hAnsi="TimesNewRomanPS-ItalicMT" w:cs="TimesNewRomanPS-ItalicMT"/>
          <w:iCs/>
          <w:sz w:val="26"/>
          <w:szCs w:val="26"/>
        </w:rPr>
        <w:t>•</w:t>
      </w:r>
      <w:r w:rsidRPr="004875A3">
        <w:rPr>
          <w:rFonts w:ascii="TimesNewRomanPS-ItalicMT" w:hAnsi="TimesNewRomanPS-ItalicMT" w:cs="TimesNewRomanPS-ItalicMT"/>
          <w:iCs/>
          <w:sz w:val="26"/>
          <w:szCs w:val="26"/>
        </w:rPr>
        <w:tab/>
        <w:t>надає можливість централізованої телеметрії для збору, аналізу та кореляції даних безпеки з кінцевих точок;</w:t>
      </w:r>
    </w:p>
    <w:p w:rsidR="004875A3" w:rsidRPr="004875A3" w:rsidRDefault="004875A3" w:rsidP="004875A3">
      <w:pPr>
        <w:ind w:firstLine="426"/>
        <w:jc w:val="both"/>
        <w:rPr>
          <w:rFonts w:ascii="TimesNewRomanPS-ItalicMT" w:hAnsi="TimesNewRomanPS-ItalicMT" w:cs="TimesNewRomanPS-ItalicMT"/>
          <w:iCs/>
          <w:sz w:val="26"/>
          <w:szCs w:val="26"/>
        </w:rPr>
      </w:pPr>
      <w:r w:rsidRPr="004875A3">
        <w:rPr>
          <w:rFonts w:ascii="TimesNewRomanPS-ItalicMT" w:hAnsi="TimesNewRomanPS-ItalicMT" w:cs="TimesNewRomanPS-ItalicMT"/>
          <w:iCs/>
          <w:sz w:val="26"/>
          <w:szCs w:val="26"/>
        </w:rPr>
        <w:t>•</w:t>
      </w:r>
      <w:r w:rsidRPr="004875A3">
        <w:rPr>
          <w:rFonts w:ascii="TimesNewRomanPS-ItalicMT" w:hAnsi="TimesNewRomanPS-ItalicMT" w:cs="TimesNewRomanPS-ItalicMT"/>
          <w:iCs/>
          <w:sz w:val="26"/>
          <w:szCs w:val="26"/>
        </w:rPr>
        <w:tab/>
        <w:t>перехід із ESET PROTECT Entry на ESET PROTECT Enterprise є економічно доцільним, оскільки використовує наявну інфраструктуру, агенти, політики та налаштування без необхідності повного розгортання нової системи.</w:t>
      </w:r>
    </w:p>
    <w:p w:rsidR="004875A3" w:rsidRPr="004875A3" w:rsidRDefault="004875A3" w:rsidP="004875A3">
      <w:pPr>
        <w:ind w:firstLine="426"/>
        <w:jc w:val="both"/>
        <w:rPr>
          <w:rFonts w:ascii="TimesNewRomanPS-ItalicMT" w:hAnsi="TimesNewRomanPS-ItalicMT" w:cs="TimesNewRomanPS-ItalicMT"/>
          <w:iCs/>
          <w:sz w:val="26"/>
          <w:szCs w:val="26"/>
        </w:rPr>
      </w:pPr>
      <w:r w:rsidRPr="004875A3">
        <w:rPr>
          <w:rFonts w:ascii="TimesNewRomanPS-ItalicMT" w:hAnsi="TimesNewRomanPS-ItalicMT" w:cs="TimesNewRomanPS-ItalicMT"/>
          <w:iCs/>
          <w:sz w:val="26"/>
          <w:szCs w:val="26"/>
        </w:rPr>
        <w:t>Впровадження системи EDR у рамках функціоналу ESET PROTECT Enterprise є необхідним для підвищення рівня кіберзахисту, оскільки:</w:t>
      </w:r>
    </w:p>
    <w:p w:rsidR="004875A3" w:rsidRPr="004875A3" w:rsidRDefault="004875A3" w:rsidP="004875A3">
      <w:pPr>
        <w:ind w:firstLine="426"/>
        <w:jc w:val="both"/>
        <w:rPr>
          <w:rFonts w:ascii="TimesNewRomanPS-ItalicMT" w:hAnsi="TimesNewRomanPS-ItalicMT" w:cs="TimesNewRomanPS-ItalicMT"/>
          <w:iCs/>
          <w:sz w:val="26"/>
          <w:szCs w:val="26"/>
        </w:rPr>
      </w:pPr>
      <w:r w:rsidRPr="004875A3">
        <w:rPr>
          <w:rFonts w:ascii="TimesNewRomanPS-ItalicMT" w:hAnsi="TimesNewRomanPS-ItalicMT" w:cs="TimesNewRomanPS-ItalicMT"/>
          <w:iCs/>
          <w:sz w:val="26"/>
          <w:szCs w:val="26"/>
        </w:rPr>
        <w:t>•</w:t>
      </w:r>
      <w:r w:rsidRPr="004875A3">
        <w:rPr>
          <w:rFonts w:ascii="TimesNewRomanPS-ItalicMT" w:hAnsi="TimesNewRomanPS-ItalicMT" w:cs="TimesNewRomanPS-ItalicMT"/>
          <w:iCs/>
          <w:sz w:val="26"/>
          <w:szCs w:val="26"/>
        </w:rPr>
        <w:tab/>
        <w:t>EDR забезпечує додатковий захист у разі порушення безпеки, виявляючи та усуваючи загрози, що долають периметр;</w:t>
      </w:r>
    </w:p>
    <w:p w:rsidR="004875A3" w:rsidRPr="004875A3" w:rsidRDefault="004875A3" w:rsidP="004875A3">
      <w:pPr>
        <w:ind w:firstLine="426"/>
        <w:jc w:val="both"/>
        <w:rPr>
          <w:rFonts w:ascii="TimesNewRomanPS-ItalicMT" w:hAnsi="TimesNewRomanPS-ItalicMT" w:cs="TimesNewRomanPS-ItalicMT"/>
          <w:iCs/>
          <w:sz w:val="26"/>
          <w:szCs w:val="26"/>
        </w:rPr>
      </w:pPr>
      <w:r w:rsidRPr="004875A3">
        <w:rPr>
          <w:rFonts w:ascii="TimesNewRomanPS-ItalicMT" w:hAnsi="TimesNewRomanPS-ItalicMT" w:cs="TimesNewRomanPS-ItalicMT"/>
          <w:iCs/>
          <w:sz w:val="26"/>
          <w:szCs w:val="26"/>
        </w:rPr>
        <w:t>•</w:t>
      </w:r>
      <w:r w:rsidRPr="004875A3">
        <w:rPr>
          <w:rFonts w:ascii="TimesNewRomanPS-ItalicMT" w:hAnsi="TimesNewRomanPS-ItalicMT" w:cs="TimesNewRomanPS-ItalicMT"/>
          <w:iCs/>
          <w:sz w:val="26"/>
          <w:szCs w:val="26"/>
        </w:rPr>
        <w:tab/>
        <w:t>дає змогу відстежувати невідомі загрози шляхом аналізу поведінки користувачів і процесів на кінцевих пристроях, виявляючи індикатори компрометації (IOC);</w:t>
      </w:r>
    </w:p>
    <w:p w:rsidR="004875A3" w:rsidRPr="004875A3" w:rsidRDefault="004875A3" w:rsidP="004875A3">
      <w:pPr>
        <w:ind w:firstLine="426"/>
        <w:jc w:val="both"/>
        <w:rPr>
          <w:rFonts w:ascii="TimesNewRomanPS-ItalicMT" w:hAnsi="TimesNewRomanPS-ItalicMT" w:cs="TimesNewRomanPS-ItalicMT"/>
          <w:iCs/>
          <w:sz w:val="26"/>
          <w:szCs w:val="26"/>
        </w:rPr>
      </w:pPr>
      <w:r w:rsidRPr="004875A3">
        <w:rPr>
          <w:rFonts w:ascii="TimesNewRomanPS-ItalicMT" w:hAnsi="TimesNewRomanPS-ItalicMT" w:cs="TimesNewRomanPS-ItalicMT"/>
          <w:iCs/>
          <w:sz w:val="26"/>
          <w:szCs w:val="26"/>
        </w:rPr>
        <w:t>•</w:t>
      </w:r>
      <w:r w:rsidRPr="004875A3">
        <w:rPr>
          <w:rFonts w:ascii="TimesNewRomanPS-ItalicMT" w:hAnsi="TimesNewRomanPS-ItalicMT" w:cs="TimesNewRomanPS-ItalicMT"/>
          <w:iCs/>
          <w:sz w:val="26"/>
          <w:szCs w:val="26"/>
        </w:rPr>
        <w:tab/>
        <w:t>забезпечує повну видимість подій на кінцевих точках і автоматизацію реагування, що скорочує час реагування та запобігає поширенню атак у корпоративній мережі;</w:t>
      </w:r>
    </w:p>
    <w:p w:rsidR="004875A3" w:rsidRPr="004875A3" w:rsidRDefault="004875A3" w:rsidP="004875A3">
      <w:pPr>
        <w:ind w:firstLine="426"/>
        <w:jc w:val="both"/>
        <w:rPr>
          <w:rFonts w:ascii="TimesNewRomanPS-ItalicMT" w:hAnsi="TimesNewRomanPS-ItalicMT" w:cs="TimesNewRomanPS-ItalicMT"/>
          <w:iCs/>
          <w:sz w:val="26"/>
          <w:szCs w:val="26"/>
        </w:rPr>
      </w:pPr>
      <w:r w:rsidRPr="004875A3">
        <w:rPr>
          <w:rFonts w:ascii="TimesNewRomanPS-ItalicMT" w:hAnsi="TimesNewRomanPS-ItalicMT" w:cs="TimesNewRomanPS-ItalicMT"/>
          <w:iCs/>
          <w:sz w:val="26"/>
          <w:szCs w:val="26"/>
        </w:rPr>
        <w:t>•</w:t>
      </w:r>
      <w:r w:rsidRPr="004875A3">
        <w:rPr>
          <w:rFonts w:ascii="TimesNewRomanPS-ItalicMT" w:hAnsi="TimesNewRomanPS-ItalicMT" w:cs="TimesNewRomanPS-ItalicMT"/>
          <w:iCs/>
          <w:sz w:val="26"/>
          <w:szCs w:val="26"/>
        </w:rPr>
        <w:tab/>
        <w:t>надає можливість централізованої телеметрії для збору, аналізу та кореляції даних безпеки з кінцевих точок;</w:t>
      </w:r>
    </w:p>
    <w:p w:rsidR="004875A3" w:rsidRPr="004875A3" w:rsidRDefault="004875A3" w:rsidP="004875A3">
      <w:pPr>
        <w:ind w:firstLine="426"/>
        <w:jc w:val="both"/>
        <w:rPr>
          <w:rFonts w:ascii="TimesNewRomanPS-ItalicMT" w:hAnsi="TimesNewRomanPS-ItalicMT" w:cs="TimesNewRomanPS-ItalicMT"/>
          <w:iCs/>
          <w:sz w:val="26"/>
          <w:szCs w:val="26"/>
        </w:rPr>
      </w:pPr>
      <w:r w:rsidRPr="004875A3">
        <w:rPr>
          <w:rFonts w:ascii="TimesNewRomanPS-ItalicMT" w:hAnsi="TimesNewRomanPS-ItalicMT" w:cs="TimesNewRomanPS-ItalicMT"/>
          <w:iCs/>
          <w:sz w:val="26"/>
          <w:szCs w:val="26"/>
        </w:rPr>
        <w:t>•</w:t>
      </w:r>
      <w:r w:rsidRPr="004875A3">
        <w:rPr>
          <w:rFonts w:ascii="TimesNewRomanPS-ItalicMT" w:hAnsi="TimesNewRomanPS-ItalicMT" w:cs="TimesNewRomanPS-ItalicMT"/>
          <w:iCs/>
          <w:sz w:val="26"/>
          <w:szCs w:val="26"/>
        </w:rPr>
        <w:tab/>
        <w:t>перехід із ESET PROTECT Entry на ESET PROTECT Enterprise є економічно доцільним, оскільки використовує наявну інфраструктуру, агенти, політики та налаштування без необхідності повного розгортання нової системи.</w:t>
      </w:r>
    </w:p>
    <w:p w:rsidR="000D36A4" w:rsidRPr="006428A6" w:rsidRDefault="00C761E7" w:rsidP="006428A6">
      <w:pPr>
        <w:autoSpaceDE w:val="0"/>
        <w:autoSpaceDN w:val="0"/>
        <w:adjustRightInd w:val="0"/>
        <w:ind w:firstLine="851"/>
        <w:jc w:val="both"/>
        <w:rPr>
          <w:rFonts w:cs="Times New Roman"/>
          <w:bCs/>
          <w:sz w:val="26"/>
          <w:szCs w:val="26"/>
        </w:rPr>
      </w:pPr>
      <w:r w:rsidRPr="006428A6">
        <w:rPr>
          <w:rFonts w:cs="Times New Roman"/>
          <w:bCs/>
          <w:sz w:val="26"/>
          <w:szCs w:val="26"/>
        </w:rPr>
        <w:t>3.</w:t>
      </w:r>
      <w:r w:rsidR="00667FF9" w:rsidRPr="006428A6">
        <w:rPr>
          <w:rFonts w:cs="Times New Roman"/>
          <w:bCs/>
          <w:sz w:val="26"/>
          <w:szCs w:val="26"/>
        </w:rPr>
        <w:t>Обґрунтування технічних та якісних характеристик предмета</w:t>
      </w:r>
      <w:r w:rsidR="006428A6">
        <w:rPr>
          <w:rFonts w:cs="Times New Roman"/>
          <w:bCs/>
          <w:sz w:val="26"/>
          <w:szCs w:val="26"/>
        </w:rPr>
        <w:t xml:space="preserve"> </w:t>
      </w:r>
      <w:r w:rsidR="00667FF9" w:rsidRPr="006428A6">
        <w:rPr>
          <w:rFonts w:cs="Times New Roman"/>
          <w:bCs/>
          <w:sz w:val="26"/>
          <w:szCs w:val="26"/>
        </w:rPr>
        <w:t>закупівлі:</w:t>
      </w:r>
    </w:p>
    <w:p w:rsidR="004875A3" w:rsidRPr="004875A3" w:rsidRDefault="004875A3" w:rsidP="004875A3">
      <w:pPr>
        <w:autoSpaceDE w:val="0"/>
        <w:autoSpaceDN w:val="0"/>
        <w:adjustRightInd w:val="0"/>
        <w:jc w:val="both"/>
        <w:rPr>
          <w:rFonts w:ascii="TimesNewRomanPS-ItalicMT" w:hAnsi="TimesNewRomanPS-ItalicMT" w:cs="TimesNewRomanPS-ItalicMT"/>
          <w:iCs/>
          <w:sz w:val="26"/>
          <w:szCs w:val="26"/>
        </w:rPr>
      </w:pPr>
      <w:r w:rsidRPr="004875A3">
        <w:rPr>
          <w:rFonts w:ascii="TimesNewRomanPS-ItalicMT" w:hAnsi="TimesNewRomanPS-ItalicMT" w:cs="TimesNewRomanPS-ItalicMT"/>
          <w:iCs/>
          <w:sz w:val="26"/>
          <w:szCs w:val="26"/>
        </w:rPr>
        <w:t xml:space="preserve">Відповідно до вимог Закону України «Про основні засади забезпечення кібербезпеки України» Держмитслужба здійснює заходи щодо запобігання використанню кіберпростору у воєнних, розвідувально-підривних, терористичних та інших протиправних і злочинних цілях, виявлення і реагування на кіберінциденти та кібератаки, усунення їх наслідків, розробляє і реалізує запобіжні, організаційні та інші заходи у сфері кібербезпеки та кіберзахисту. </w:t>
      </w:r>
    </w:p>
    <w:p w:rsidR="004875A3" w:rsidRPr="004875A3" w:rsidRDefault="004875A3" w:rsidP="004875A3">
      <w:pPr>
        <w:autoSpaceDE w:val="0"/>
        <w:autoSpaceDN w:val="0"/>
        <w:adjustRightInd w:val="0"/>
        <w:jc w:val="both"/>
        <w:rPr>
          <w:rFonts w:ascii="TimesNewRomanPS-ItalicMT" w:hAnsi="TimesNewRomanPS-ItalicMT" w:cs="TimesNewRomanPS-ItalicMT"/>
          <w:iCs/>
          <w:sz w:val="26"/>
          <w:szCs w:val="26"/>
        </w:rPr>
      </w:pPr>
      <w:r w:rsidRPr="004875A3">
        <w:rPr>
          <w:rFonts w:ascii="TimesNewRomanPS-ItalicMT" w:hAnsi="TimesNewRomanPS-ItalicMT" w:cs="TimesNewRomanPS-ItalicMT"/>
          <w:iCs/>
          <w:sz w:val="26"/>
          <w:szCs w:val="26"/>
        </w:rPr>
        <w:t xml:space="preserve">Згідно із вимогами Закону України «Про критичну інфраструктуру» об’єкти Державної митної служби України включено до реєстру об’єктів критичної інфраструктури. </w:t>
      </w:r>
    </w:p>
    <w:p w:rsidR="004875A3" w:rsidRPr="004875A3" w:rsidRDefault="004875A3" w:rsidP="004875A3">
      <w:pPr>
        <w:autoSpaceDE w:val="0"/>
        <w:autoSpaceDN w:val="0"/>
        <w:adjustRightInd w:val="0"/>
        <w:jc w:val="both"/>
        <w:rPr>
          <w:rFonts w:ascii="TimesNewRomanPS-ItalicMT" w:hAnsi="TimesNewRomanPS-ItalicMT" w:cs="TimesNewRomanPS-ItalicMT"/>
          <w:iCs/>
          <w:sz w:val="26"/>
          <w:szCs w:val="26"/>
        </w:rPr>
      </w:pPr>
      <w:r w:rsidRPr="004875A3">
        <w:rPr>
          <w:rFonts w:ascii="TimesNewRomanPS-ItalicMT" w:hAnsi="TimesNewRomanPS-ItalicMT" w:cs="TimesNewRomanPS-ItalicMT"/>
          <w:iCs/>
          <w:sz w:val="26"/>
          <w:szCs w:val="26"/>
        </w:rPr>
        <w:t xml:space="preserve">Відповідно до вимог абзацу 2 статті 8 Закону України «Про захист інформації в інформаційно-комунікаційних системах» державні інформаційні ресурси або інформація з обмеженим доступом, вимога щодо захисту якої встановлена Законом, </w:t>
      </w:r>
      <w:r w:rsidRPr="004875A3">
        <w:rPr>
          <w:rFonts w:ascii="TimesNewRomanPS-ItalicMT" w:hAnsi="TimesNewRomanPS-ItalicMT" w:cs="TimesNewRomanPS-ItalicMT"/>
          <w:iCs/>
          <w:sz w:val="26"/>
          <w:szCs w:val="26"/>
        </w:rPr>
        <w:lastRenderedPageBreak/>
        <w:t xml:space="preserve">мають оброблятися в системі із застосуванням комплексної системи захисту інформації (далі – КСЗІ) з підтвердженою відповідністю. </w:t>
      </w:r>
    </w:p>
    <w:p w:rsidR="004875A3" w:rsidRPr="004875A3" w:rsidRDefault="004875A3" w:rsidP="004875A3">
      <w:pPr>
        <w:autoSpaceDE w:val="0"/>
        <w:autoSpaceDN w:val="0"/>
        <w:adjustRightInd w:val="0"/>
        <w:jc w:val="both"/>
        <w:rPr>
          <w:rFonts w:ascii="TimesNewRomanPS-ItalicMT" w:hAnsi="TimesNewRomanPS-ItalicMT" w:cs="TimesNewRomanPS-ItalicMT"/>
          <w:iCs/>
          <w:sz w:val="26"/>
          <w:szCs w:val="26"/>
        </w:rPr>
      </w:pPr>
      <w:r w:rsidRPr="004875A3">
        <w:rPr>
          <w:rFonts w:ascii="TimesNewRomanPS-ItalicMT" w:hAnsi="TimesNewRomanPS-ItalicMT" w:cs="TimesNewRomanPS-ItalicMT"/>
          <w:iCs/>
          <w:sz w:val="26"/>
          <w:szCs w:val="26"/>
        </w:rPr>
        <w:t xml:space="preserve">Державною митною службою України створено КСЗІ та отримано атестати відповідності на інформаційно-комунікаційні системи Держмитслужби. </w:t>
      </w:r>
    </w:p>
    <w:p w:rsidR="004875A3" w:rsidRPr="004875A3" w:rsidRDefault="004875A3" w:rsidP="004875A3">
      <w:pPr>
        <w:autoSpaceDE w:val="0"/>
        <w:autoSpaceDN w:val="0"/>
        <w:adjustRightInd w:val="0"/>
        <w:jc w:val="both"/>
        <w:rPr>
          <w:rFonts w:ascii="TimesNewRomanPS-ItalicMT" w:hAnsi="TimesNewRomanPS-ItalicMT" w:cs="TimesNewRomanPS-ItalicMT"/>
          <w:iCs/>
          <w:sz w:val="26"/>
          <w:szCs w:val="26"/>
        </w:rPr>
      </w:pPr>
      <w:r w:rsidRPr="004875A3">
        <w:rPr>
          <w:rFonts w:ascii="TimesNewRomanPS-ItalicMT" w:hAnsi="TimesNewRomanPS-ItalicMT" w:cs="TimesNewRomanPS-ItalicMT"/>
          <w:iCs/>
          <w:sz w:val="26"/>
          <w:szCs w:val="26"/>
        </w:rPr>
        <w:t xml:space="preserve">КСЗІ як сукупність технічних та організаційних заходів захисту впроваджуються власником інформаційної системи у вигляді технічних (програмно-апаратних та програмних)засобів захисту та їх налаштувань, а також прийняттям наказів, положень, планів, інструкцій тощо. </w:t>
      </w:r>
    </w:p>
    <w:p w:rsidR="004875A3" w:rsidRPr="004875A3" w:rsidRDefault="004875A3" w:rsidP="004875A3">
      <w:pPr>
        <w:autoSpaceDE w:val="0"/>
        <w:autoSpaceDN w:val="0"/>
        <w:adjustRightInd w:val="0"/>
        <w:jc w:val="both"/>
        <w:rPr>
          <w:rFonts w:ascii="TimesNewRomanPS-ItalicMT" w:hAnsi="TimesNewRomanPS-ItalicMT" w:cs="TimesNewRomanPS-ItalicMT"/>
          <w:iCs/>
          <w:sz w:val="26"/>
          <w:szCs w:val="26"/>
        </w:rPr>
      </w:pPr>
      <w:r w:rsidRPr="004875A3">
        <w:rPr>
          <w:rFonts w:ascii="TimesNewRomanPS-ItalicMT" w:hAnsi="TimesNewRomanPS-ItalicMT" w:cs="TimesNewRomanPS-ItalicMT"/>
          <w:iCs/>
          <w:sz w:val="26"/>
          <w:szCs w:val="26"/>
        </w:rPr>
        <w:t xml:space="preserve">Технічні заходи захисту, зокрема, передбачають закупівлю, встановлення, налаштування та оновлення антивірусних програмних засобів (пакетів антивірусного програмного забезпечення). Органи виконавчої влади зобов’язані використовувати в своїй роботі ліцензійне програмне забезпечення яке має позитивний експертний висновок за результатами державної експертизи у сфері технічного захисту інформації або сертифікат відповідності, виданий органом з оцінки відповідності. </w:t>
      </w:r>
    </w:p>
    <w:p w:rsidR="004875A3" w:rsidRPr="004875A3" w:rsidRDefault="004875A3" w:rsidP="004875A3">
      <w:pPr>
        <w:autoSpaceDE w:val="0"/>
        <w:autoSpaceDN w:val="0"/>
        <w:adjustRightInd w:val="0"/>
        <w:jc w:val="both"/>
        <w:rPr>
          <w:rFonts w:ascii="TimesNewRomanPS-ItalicMT" w:hAnsi="TimesNewRomanPS-ItalicMT" w:cs="TimesNewRomanPS-ItalicMT"/>
          <w:iCs/>
          <w:sz w:val="26"/>
          <w:szCs w:val="26"/>
        </w:rPr>
      </w:pPr>
      <w:r w:rsidRPr="004875A3">
        <w:rPr>
          <w:rFonts w:ascii="TimesNewRomanPS-ItalicMT" w:hAnsi="TimesNewRomanPS-ItalicMT" w:cs="TimesNewRomanPS-ItalicMT"/>
          <w:iCs/>
          <w:sz w:val="26"/>
          <w:szCs w:val="26"/>
        </w:rPr>
        <w:t xml:space="preserve">Програмні продукти, що закуповуються, мають бути сумісні з визначеним рішенням та мати позитивні експертні висновки у сфері технічного захисту інформації. </w:t>
      </w:r>
    </w:p>
    <w:p w:rsidR="004875A3" w:rsidRPr="004875A3" w:rsidRDefault="004875A3" w:rsidP="004875A3">
      <w:pPr>
        <w:autoSpaceDE w:val="0"/>
        <w:autoSpaceDN w:val="0"/>
        <w:adjustRightInd w:val="0"/>
        <w:jc w:val="both"/>
        <w:rPr>
          <w:rFonts w:ascii="TimesNewRomanPS-ItalicMT" w:hAnsi="TimesNewRomanPS-ItalicMT" w:cs="TimesNewRomanPS-ItalicMT"/>
          <w:iCs/>
          <w:sz w:val="26"/>
          <w:szCs w:val="26"/>
        </w:rPr>
      </w:pPr>
      <w:r w:rsidRPr="004875A3">
        <w:rPr>
          <w:rFonts w:ascii="TimesNewRomanPS-ItalicMT" w:hAnsi="TimesNewRomanPS-ItalicMT" w:cs="TimesNewRomanPS-ItalicMT"/>
          <w:iCs/>
          <w:sz w:val="26"/>
          <w:szCs w:val="26"/>
        </w:rPr>
        <w:t>До складу ESET PROTECT Enterprise з локальною консоллю керування входять продукти, які мають чинні експертні висновки ДССЗІ про відповідність вимогам технічного захисту інформації:</w:t>
      </w:r>
    </w:p>
    <w:p w:rsidR="004875A3" w:rsidRPr="004875A3" w:rsidRDefault="004875A3" w:rsidP="004875A3">
      <w:pPr>
        <w:autoSpaceDE w:val="0"/>
        <w:autoSpaceDN w:val="0"/>
        <w:adjustRightInd w:val="0"/>
        <w:jc w:val="both"/>
        <w:rPr>
          <w:rFonts w:ascii="TimesNewRomanPS-ItalicMT" w:hAnsi="TimesNewRomanPS-ItalicMT" w:cs="TimesNewRomanPS-ItalicMT"/>
          <w:iCs/>
          <w:sz w:val="26"/>
          <w:szCs w:val="26"/>
        </w:rPr>
      </w:pPr>
      <w:r w:rsidRPr="004875A3">
        <w:rPr>
          <w:rFonts w:ascii="TimesNewRomanPS-ItalicMT" w:hAnsi="TimesNewRomanPS-ItalicMT" w:cs="TimesNewRomanPS-ItalicMT"/>
          <w:iCs/>
          <w:sz w:val="26"/>
          <w:szCs w:val="26"/>
        </w:rPr>
        <w:t>1. ESET Endpoint Security for Microsoft Windows, ESET Endpoint Antivirus for Microsoft Windows, ESET Endpoint Antivirus for Linux, ESET Endpoint Security for Android - для захисту кінцевих точок. В залежності від типу операційної системи використовується той, чи інший дистрибутив.</w:t>
      </w:r>
    </w:p>
    <w:p w:rsidR="004875A3" w:rsidRPr="004875A3" w:rsidRDefault="004875A3" w:rsidP="004875A3">
      <w:pPr>
        <w:autoSpaceDE w:val="0"/>
        <w:autoSpaceDN w:val="0"/>
        <w:adjustRightInd w:val="0"/>
        <w:jc w:val="both"/>
        <w:rPr>
          <w:rFonts w:ascii="TimesNewRomanPS-ItalicMT" w:hAnsi="TimesNewRomanPS-ItalicMT" w:cs="TimesNewRomanPS-ItalicMT"/>
          <w:iCs/>
          <w:sz w:val="26"/>
          <w:szCs w:val="26"/>
        </w:rPr>
      </w:pPr>
      <w:r w:rsidRPr="004875A3">
        <w:rPr>
          <w:rFonts w:ascii="TimesNewRomanPS-ItalicMT" w:hAnsi="TimesNewRomanPS-ItalicMT" w:cs="TimesNewRomanPS-ItalicMT"/>
          <w:iCs/>
          <w:sz w:val="26"/>
          <w:szCs w:val="26"/>
        </w:rPr>
        <w:t>2. ESET Server Security for Microsoft Windows Server, ESET Server Security for Linux, ESET File Security для захисту файлових серверів.</w:t>
      </w:r>
    </w:p>
    <w:p w:rsidR="004875A3" w:rsidRPr="004875A3" w:rsidRDefault="004875A3" w:rsidP="004875A3">
      <w:pPr>
        <w:autoSpaceDE w:val="0"/>
        <w:autoSpaceDN w:val="0"/>
        <w:adjustRightInd w:val="0"/>
        <w:jc w:val="both"/>
        <w:rPr>
          <w:rFonts w:ascii="TimesNewRomanPS-ItalicMT" w:hAnsi="TimesNewRomanPS-ItalicMT" w:cs="TimesNewRomanPS-ItalicMT"/>
          <w:iCs/>
          <w:sz w:val="26"/>
          <w:szCs w:val="26"/>
        </w:rPr>
      </w:pPr>
      <w:r w:rsidRPr="004875A3">
        <w:rPr>
          <w:rFonts w:ascii="TimesNewRomanPS-ItalicMT" w:hAnsi="TimesNewRomanPS-ItalicMT" w:cs="TimesNewRomanPS-ItalicMT"/>
          <w:iCs/>
          <w:sz w:val="26"/>
          <w:szCs w:val="26"/>
        </w:rPr>
        <w:t>3. ESET Inspect - інструмент XDR здійснює всебічний моніторинг активності, проводить аналіз підозрілих процесів та реагує на них, дозволяє провести повноцінне розслідування інцидентів в інфраструктурі.</w:t>
      </w:r>
    </w:p>
    <w:p w:rsidR="004875A3" w:rsidRPr="004875A3" w:rsidRDefault="004875A3" w:rsidP="004875A3">
      <w:pPr>
        <w:autoSpaceDE w:val="0"/>
        <w:autoSpaceDN w:val="0"/>
        <w:adjustRightInd w:val="0"/>
        <w:jc w:val="both"/>
        <w:rPr>
          <w:rFonts w:ascii="TimesNewRomanPS-ItalicMT" w:hAnsi="TimesNewRomanPS-ItalicMT" w:cs="TimesNewRomanPS-ItalicMT"/>
          <w:iCs/>
          <w:sz w:val="26"/>
          <w:szCs w:val="26"/>
        </w:rPr>
      </w:pPr>
      <w:r w:rsidRPr="004875A3">
        <w:rPr>
          <w:rFonts w:ascii="TimesNewRomanPS-ItalicMT" w:hAnsi="TimesNewRomanPS-ItalicMT" w:cs="TimesNewRomanPS-ItalicMT"/>
          <w:iCs/>
          <w:sz w:val="26"/>
          <w:szCs w:val="26"/>
        </w:rPr>
        <w:t>Таким чином, впровадження рішення ESET PROTECT Enterprise із підтримкою функціоналу EDR забезпечить багаторівневий, проактивний та централізовано керований захист кінцевих пристроїв і серверного обладнання Держмитслужби, дозволяючи ефективно реагувати на кіберінциденти та запобігати їх виникненню, при цьому оптимізуючи витрати та ресурси на впровадження.</w:t>
      </w:r>
    </w:p>
    <w:p w:rsidR="000D36A4" w:rsidRDefault="004875A3" w:rsidP="004875A3">
      <w:pPr>
        <w:autoSpaceDE w:val="0"/>
        <w:autoSpaceDN w:val="0"/>
        <w:adjustRightInd w:val="0"/>
        <w:jc w:val="both"/>
        <w:rPr>
          <w:rFonts w:ascii="TimesNewRomanPS-ItalicMT" w:hAnsi="TimesNewRomanPS-ItalicMT" w:cs="TimesNewRomanPS-ItalicMT"/>
          <w:iCs/>
          <w:sz w:val="26"/>
          <w:szCs w:val="26"/>
        </w:rPr>
      </w:pPr>
      <w:r w:rsidRPr="004875A3">
        <w:rPr>
          <w:rFonts w:ascii="TimesNewRomanPS-ItalicMT" w:hAnsi="TimesNewRomanPS-ItalicMT" w:cs="TimesNewRomanPS-ItalicMT"/>
          <w:iCs/>
          <w:sz w:val="26"/>
          <w:szCs w:val="26"/>
        </w:rPr>
        <w:t>Програмна продукція буде входити до сервісів захисту засобів забезпечення Єдиної автоматизованої інформаційної системи митних органів</w:t>
      </w:r>
      <w:r>
        <w:rPr>
          <w:rFonts w:ascii="TimesNewRomanPS-ItalicMT" w:hAnsi="TimesNewRomanPS-ItalicMT" w:cs="TimesNewRomanPS-ItalicMT"/>
          <w:iCs/>
          <w:sz w:val="26"/>
          <w:szCs w:val="26"/>
        </w:rPr>
        <w:t>.</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5474"/>
        <w:gridCol w:w="1418"/>
        <w:gridCol w:w="1275"/>
        <w:gridCol w:w="993"/>
      </w:tblGrid>
      <w:tr w:rsidR="004875A3" w:rsidRPr="004875A3" w:rsidTr="004875A3">
        <w:trPr>
          <w:cantSplit/>
          <w:jc w:val="center"/>
        </w:trPr>
        <w:tc>
          <w:tcPr>
            <w:tcW w:w="6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875A3" w:rsidRPr="004875A3" w:rsidRDefault="004875A3" w:rsidP="004875A3">
            <w:pPr>
              <w:tabs>
                <w:tab w:val="left" w:pos="9639"/>
              </w:tabs>
              <w:suppressAutoHyphens/>
              <w:spacing w:line="252" w:lineRule="auto"/>
              <w:jc w:val="center"/>
              <w:rPr>
                <w:rFonts w:eastAsia="Times New Roman" w:cs="Times New Roman"/>
                <w:b/>
                <w:color w:val="000000"/>
                <w:sz w:val="24"/>
                <w:szCs w:val="24"/>
                <w:lang w:eastAsia="ar-SA"/>
              </w:rPr>
            </w:pPr>
            <w:r w:rsidRPr="004875A3">
              <w:rPr>
                <w:rFonts w:eastAsia="Times New Roman" w:cs="Times New Roman"/>
                <w:b/>
                <w:bCs/>
                <w:iCs/>
                <w:color w:val="000000"/>
                <w:sz w:val="24"/>
                <w:szCs w:val="24"/>
                <w:lang w:eastAsia="ar-SA"/>
              </w:rPr>
              <w:t>№ з/п</w:t>
            </w:r>
          </w:p>
        </w:tc>
        <w:tc>
          <w:tcPr>
            <w:tcW w:w="547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875A3" w:rsidRPr="004875A3" w:rsidRDefault="004875A3" w:rsidP="004875A3">
            <w:pPr>
              <w:keepNext/>
              <w:tabs>
                <w:tab w:val="left" w:pos="9639"/>
              </w:tabs>
              <w:suppressAutoHyphens/>
              <w:spacing w:line="252" w:lineRule="auto"/>
              <w:jc w:val="center"/>
              <w:rPr>
                <w:rFonts w:eastAsia="Times New Roman" w:cs="Times New Roman"/>
                <w:b/>
                <w:bCs/>
                <w:iCs/>
                <w:color w:val="000000"/>
                <w:sz w:val="24"/>
                <w:szCs w:val="24"/>
                <w:lang w:eastAsia="ar-SA"/>
              </w:rPr>
            </w:pPr>
            <w:r w:rsidRPr="004875A3">
              <w:rPr>
                <w:rFonts w:eastAsia="Times New Roman" w:cs="Times New Roman"/>
                <w:b/>
                <w:bCs/>
                <w:iCs/>
                <w:color w:val="000000"/>
                <w:sz w:val="24"/>
                <w:szCs w:val="24"/>
                <w:lang w:eastAsia="ar-SA"/>
              </w:rPr>
              <w:t>Найменування Послуг</w:t>
            </w:r>
          </w:p>
        </w:tc>
        <w:tc>
          <w:tcPr>
            <w:tcW w:w="1418" w:type="dxa"/>
            <w:tcBorders>
              <w:top w:val="single" w:sz="4" w:space="0" w:color="auto"/>
              <w:left w:val="single" w:sz="4" w:space="0" w:color="auto"/>
              <w:bottom w:val="single" w:sz="4" w:space="0" w:color="auto"/>
              <w:right w:val="single" w:sz="4" w:space="0" w:color="auto"/>
            </w:tcBorders>
            <w:hideMark/>
          </w:tcPr>
          <w:p w:rsidR="004875A3" w:rsidRPr="004875A3" w:rsidRDefault="004875A3" w:rsidP="004875A3">
            <w:pPr>
              <w:keepNext/>
              <w:tabs>
                <w:tab w:val="left" w:pos="9639"/>
              </w:tabs>
              <w:suppressAutoHyphens/>
              <w:spacing w:line="252" w:lineRule="auto"/>
              <w:jc w:val="center"/>
              <w:rPr>
                <w:rFonts w:eastAsia="Times New Roman" w:cs="Times New Roman"/>
                <w:b/>
                <w:bCs/>
                <w:iCs/>
                <w:color w:val="000000"/>
                <w:sz w:val="24"/>
                <w:szCs w:val="24"/>
                <w:lang w:eastAsia="ar-SA"/>
              </w:rPr>
            </w:pPr>
            <w:r w:rsidRPr="004875A3">
              <w:rPr>
                <w:rFonts w:eastAsia="Times New Roman" w:cs="Times New Roman"/>
                <w:b/>
                <w:bCs/>
                <w:iCs/>
                <w:color w:val="000000"/>
                <w:sz w:val="24"/>
                <w:szCs w:val="24"/>
                <w:lang w:eastAsia="ar-SA"/>
              </w:rPr>
              <w:t>Строк дії (міс.)</w:t>
            </w:r>
          </w:p>
          <w:p w:rsidR="004875A3" w:rsidRPr="004875A3" w:rsidRDefault="004875A3" w:rsidP="004875A3">
            <w:pPr>
              <w:keepNext/>
              <w:tabs>
                <w:tab w:val="left" w:pos="9639"/>
              </w:tabs>
              <w:suppressAutoHyphens/>
              <w:spacing w:line="252" w:lineRule="auto"/>
              <w:jc w:val="center"/>
              <w:rPr>
                <w:rFonts w:eastAsia="Times New Roman" w:cs="Times New Roman"/>
                <w:b/>
                <w:bCs/>
                <w:iCs/>
                <w:color w:val="000000"/>
                <w:sz w:val="24"/>
                <w:szCs w:val="24"/>
                <w:lang w:eastAsia="ar-SA"/>
              </w:rPr>
            </w:pPr>
            <w:r w:rsidRPr="004875A3">
              <w:rPr>
                <w:rFonts w:eastAsia="Times New Roman" w:cs="Times New Roman"/>
                <w:b/>
                <w:bCs/>
                <w:iCs/>
                <w:color w:val="000000"/>
                <w:sz w:val="24"/>
                <w:szCs w:val="24"/>
                <w:lang w:eastAsia="ar-SA"/>
              </w:rPr>
              <w:t>ліцензії</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875A3" w:rsidRPr="004875A3" w:rsidRDefault="004875A3" w:rsidP="004875A3">
            <w:pPr>
              <w:keepNext/>
              <w:tabs>
                <w:tab w:val="left" w:pos="9639"/>
              </w:tabs>
              <w:suppressAutoHyphens/>
              <w:spacing w:line="252" w:lineRule="auto"/>
              <w:jc w:val="center"/>
              <w:rPr>
                <w:rFonts w:eastAsia="Times New Roman" w:cs="Times New Roman"/>
                <w:b/>
                <w:bCs/>
                <w:iCs/>
                <w:color w:val="000000"/>
                <w:sz w:val="24"/>
                <w:szCs w:val="24"/>
                <w:lang w:eastAsia="ar-SA"/>
              </w:rPr>
            </w:pPr>
            <w:r w:rsidRPr="004875A3">
              <w:rPr>
                <w:rFonts w:eastAsia="Times New Roman" w:cs="Times New Roman"/>
                <w:b/>
                <w:bCs/>
                <w:iCs/>
                <w:color w:val="000000"/>
                <w:sz w:val="24"/>
                <w:szCs w:val="24"/>
                <w:lang w:eastAsia="ar-SA"/>
              </w:rPr>
              <w:t>Одини-ця виміру</w:t>
            </w:r>
          </w:p>
          <w:p w:rsidR="004875A3" w:rsidRPr="004875A3" w:rsidRDefault="004875A3" w:rsidP="004875A3">
            <w:pPr>
              <w:keepNext/>
              <w:tabs>
                <w:tab w:val="left" w:pos="9639"/>
              </w:tabs>
              <w:suppressAutoHyphens/>
              <w:spacing w:line="252" w:lineRule="auto"/>
              <w:jc w:val="center"/>
              <w:rPr>
                <w:rFonts w:eastAsia="Times New Roman" w:cs="Times New Roman"/>
                <w:b/>
                <w:iCs/>
                <w:color w:val="000000"/>
                <w:sz w:val="24"/>
                <w:szCs w:val="24"/>
                <w:lang w:eastAsia="ar-SA"/>
              </w:rPr>
            </w:pPr>
            <w:r w:rsidRPr="004875A3">
              <w:rPr>
                <w:rFonts w:eastAsia="Times New Roman" w:cs="Times New Roman"/>
                <w:b/>
                <w:bCs/>
                <w:iCs/>
                <w:color w:val="000000"/>
                <w:sz w:val="24"/>
                <w:szCs w:val="24"/>
                <w:lang w:eastAsia="ar-SA"/>
              </w:rPr>
              <w:t>ліцензії</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875A3" w:rsidRPr="004875A3" w:rsidRDefault="004875A3" w:rsidP="004875A3">
            <w:pPr>
              <w:keepNext/>
              <w:tabs>
                <w:tab w:val="left" w:pos="9639"/>
              </w:tabs>
              <w:suppressAutoHyphens/>
              <w:spacing w:line="252" w:lineRule="auto"/>
              <w:jc w:val="center"/>
              <w:rPr>
                <w:rFonts w:eastAsia="Times New Roman" w:cs="Times New Roman"/>
                <w:b/>
                <w:bCs/>
                <w:iCs/>
                <w:color w:val="000000"/>
                <w:sz w:val="24"/>
                <w:szCs w:val="24"/>
                <w:lang w:eastAsia="ar-SA"/>
              </w:rPr>
            </w:pPr>
            <w:r w:rsidRPr="004875A3">
              <w:rPr>
                <w:rFonts w:eastAsia="Times New Roman" w:cs="Times New Roman"/>
                <w:b/>
                <w:bCs/>
                <w:iCs/>
                <w:color w:val="000000"/>
                <w:sz w:val="24"/>
                <w:szCs w:val="24"/>
                <w:lang w:eastAsia="ar-SA"/>
              </w:rPr>
              <w:t>Кіль-</w:t>
            </w:r>
          </w:p>
          <w:p w:rsidR="004875A3" w:rsidRPr="004875A3" w:rsidRDefault="004875A3" w:rsidP="004875A3">
            <w:pPr>
              <w:keepNext/>
              <w:tabs>
                <w:tab w:val="left" w:pos="9639"/>
              </w:tabs>
              <w:suppressAutoHyphens/>
              <w:spacing w:line="252" w:lineRule="auto"/>
              <w:jc w:val="center"/>
              <w:rPr>
                <w:rFonts w:eastAsia="Times New Roman" w:cs="Times New Roman"/>
                <w:b/>
                <w:iCs/>
                <w:color w:val="000000"/>
                <w:sz w:val="24"/>
                <w:szCs w:val="24"/>
                <w:lang w:eastAsia="ar-SA"/>
              </w:rPr>
            </w:pPr>
            <w:r w:rsidRPr="004875A3">
              <w:rPr>
                <w:rFonts w:eastAsia="Times New Roman" w:cs="Times New Roman"/>
                <w:b/>
                <w:bCs/>
                <w:iCs/>
                <w:color w:val="000000"/>
                <w:sz w:val="24"/>
                <w:szCs w:val="24"/>
                <w:lang w:eastAsia="ar-SA"/>
              </w:rPr>
              <w:t>кість</w:t>
            </w:r>
          </w:p>
        </w:tc>
      </w:tr>
      <w:tr w:rsidR="004875A3" w:rsidRPr="004875A3" w:rsidTr="004875A3">
        <w:trPr>
          <w:cantSplit/>
          <w:trHeight w:val="293"/>
          <w:jc w:val="center"/>
        </w:trPr>
        <w:tc>
          <w:tcPr>
            <w:tcW w:w="617" w:type="dxa"/>
            <w:tcBorders>
              <w:top w:val="single" w:sz="4" w:space="0" w:color="auto"/>
              <w:left w:val="single" w:sz="4" w:space="0" w:color="auto"/>
              <w:bottom w:val="single" w:sz="4" w:space="0" w:color="auto"/>
              <w:right w:val="single" w:sz="4" w:space="0" w:color="auto"/>
            </w:tcBorders>
            <w:hideMark/>
          </w:tcPr>
          <w:p w:rsidR="004875A3" w:rsidRPr="004875A3" w:rsidRDefault="004875A3" w:rsidP="004875A3">
            <w:pPr>
              <w:tabs>
                <w:tab w:val="left" w:pos="9639"/>
              </w:tabs>
              <w:suppressAutoHyphens/>
              <w:spacing w:after="120" w:line="252" w:lineRule="auto"/>
              <w:jc w:val="center"/>
              <w:rPr>
                <w:rFonts w:eastAsia="Times New Roman" w:cs="Times New Roman"/>
                <w:color w:val="000000"/>
                <w:sz w:val="24"/>
                <w:szCs w:val="24"/>
                <w:lang w:eastAsia="ar-SA"/>
              </w:rPr>
            </w:pPr>
            <w:r w:rsidRPr="004875A3">
              <w:rPr>
                <w:rFonts w:eastAsia="Times New Roman" w:cs="Times New Roman"/>
                <w:color w:val="000000"/>
                <w:sz w:val="24"/>
                <w:szCs w:val="24"/>
                <w:lang w:eastAsia="ar-SA"/>
              </w:rPr>
              <w:t>1.</w:t>
            </w:r>
          </w:p>
        </w:tc>
        <w:tc>
          <w:tcPr>
            <w:tcW w:w="5474" w:type="dxa"/>
            <w:tcBorders>
              <w:top w:val="single" w:sz="4" w:space="0" w:color="auto"/>
              <w:left w:val="single" w:sz="4" w:space="0" w:color="auto"/>
              <w:bottom w:val="single" w:sz="4" w:space="0" w:color="auto"/>
              <w:right w:val="single" w:sz="4" w:space="0" w:color="auto"/>
            </w:tcBorders>
            <w:hideMark/>
          </w:tcPr>
          <w:p w:rsidR="004875A3" w:rsidRPr="004875A3" w:rsidRDefault="004875A3" w:rsidP="004875A3">
            <w:pPr>
              <w:widowControl w:val="0"/>
              <w:tabs>
                <w:tab w:val="left" w:pos="-4111"/>
                <w:tab w:val="left" w:pos="993"/>
                <w:tab w:val="left" w:pos="9639"/>
              </w:tabs>
              <w:spacing w:line="252" w:lineRule="auto"/>
              <w:jc w:val="both"/>
              <w:rPr>
                <w:rFonts w:eastAsia="Times New Roman" w:cs="Times New Roman"/>
                <w:color w:val="000000"/>
                <w:sz w:val="24"/>
                <w:szCs w:val="24"/>
              </w:rPr>
            </w:pPr>
            <w:r w:rsidRPr="004875A3">
              <w:rPr>
                <w:rFonts w:eastAsia="Times New Roman" w:cs="Times New Roman"/>
                <w:sz w:val="24"/>
                <w:szCs w:val="24"/>
              </w:rPr>
              <w:t>послуги з передачі програмної продукції ESET PROTECT Enterprise On-prem для захисту 12350 об’єктів на 6 місяців. Апгрейд з ESET PROTECT Entry On-prem 12350 об’єктів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4875A3" w:rsidRPr="004875A3" w:rsidRDefault="004875A3" w:rsidP="004875A3">
            <w:pPr>
              <w:tabs>
                <w:tab w:val="left" w:pos="9639"/>
              </w:tabs>
              <w:suppressAutoHyphens/>
              <w:spacing w:line="252" w:lineRule="auto"/>
              <w:ind w:left="-43" w:right="-68"/>
              <w:jc w:val="center"/>
              <w:rPr>
                <w:rFonts w:eastAsia="Times New Roman" w:cs="Times New Roman"/>
                <w:sz w:val="24"/>
                <w:szCs w:val="24"/>
                <w:lang w:eastAsia="ar-SA"/>
              </w:rPr>
            </w:pPr>
            <w:r w:rsidRPr="004875A3">
              <w:rPr>
                <w:rFonts w:eastAsia="Times New Roman" w:cs="Times New Roman"/>
                <w:sz w:val="24"/>
                <w:szCs w:val="24"/>
                <w:lang w:eastAsia="ar-SA"/>
              </w:rPr>
              <w:t>6</w:t>
            </w:r>
          </w:p>
          <w:p w:rsidR="004875A3" w:rsidRPr="004875A3" w:rsidRDefault="004875A3" w:rsidP="004875A3">
            <w:pPr>
              <w:tabs>
                <w:tab w:val="left" w:pos="9639"/>
              </w:tabs>
              <w:suppressAutoHyphens/>
              <w:spacing w:line="252" w:lineRule="auto"/>
              <w:ind w:left="-43" w:right="-68"/>
              <w:jc w:val="center"/>
              <w:rPr>
                <w:rFonts w:eastAsia="Times New Roman" w:cs="Times New Roman"/>
                <w:sz w:val="24"/>
                <w:szCs w:val="24"/>
                <w:lang w:eastAsia="ar-SA"/>
              </w:rPr>
            </w:pPr>
            <w:r w:rsidRPr="004875A3">
              <w:rPr>
                <w:rFonts w:eastAsia="Times New Roman" w:cs="Times New Roman"/>
                <w:sz w:val="24"/>
                <w:szCs w:val="24"/>
                <w:lang w:eastAsia="ar-SA"/>
              </w:rPr>
              <w:t>з дня активації</w:t>
            </w:r>
          </w:p>
        </w:tc>
        <w:tc>
          <w:tcPr>
            <w:tcW w:w="1275" w:type="dxa"/>
            <w:tcBorders>
              <w:top w:val="single" w:sz="4" w:space="0" w:color="auto"/>
              <w:left w:val="single" w:sz="4" w:space="0" w:color="auto"/>
              <w:bottom w:val="single" w:sz="4" w:space="0" w:color="auto"/>
              <w:right w:val="single" w:sz="4" w:space="0" w:color="auto"/>
            </w:tcBorders>
            <w:vAlign w:val="center"/>
            <w:hideMark/>
          </w:tcPr>
          <w:p w:rsidR="004875A3" w:rsidRPr="004875A3" w:rsidRDefault="004875A3" w:rsidP="004875A3">
            <w:pPr>
              <w:tabs>
                <w:tab w:val="left" w:pos="9639"/>
              </w:tabs>
              <w:suppressAutoHyphens/>
              <w:spacing w:line="252" w:lineRule="auto"/>
              <w:ind w:left="-43" w:right="-68"/>
              <w:jc w:val="center"/>
              <w:rPr>
                <w:rFonts w:eastAsia="Times New Roman" w:cs="Times New Roman"/>
                <w:sz w:val="24"/>
                <w:szCs w:val="24"/>
                <w:lang w:eastAsia="ar-SA"/>
              </w:rPr>
            </w:pPr>
            <w:r w:rsidRPr="004875A3">
              <w:rPr>
                <w:rFonts w:eastAsia="Times New Roman" w:cs="Times New Roman"/>
                <w:sz w:val="24"/>
                <w:szCs w:val="24"/>
                <w:lang w:eastAsia="ar-SA"/>
              </w:rPr>
              <w:t>послуга</w:t>
            </w:r>
          </w:p>
        </w:tc>
        <w:tc>
          <w:tcPr>
            <w:tcW w:w="993" w:type="dxa"/>
            <w:tcBorders>
              <w:top w:val="single" w:sz="4" w:space="0" w:color="auto"/>
              <w:left w:val="single" w:sz="4" w:space="0" w:color="auto"/>
              <w:bottom w:val="single" w:sz="4" w:space="0" w:color="auto"/>
              <w:right w:val="single" w:sz="4" w:space="0" w:color="auto"/>
            </w:tcBorders>
            <w:vAlign w:val="center"/>
            <w:hideMark/>
          </w:tcPr>
          <w:p w:rsidR="004875A3" w:rsidRPr="004875A3" w:rsidRDefault="004875A3" w:rsidP="004875A3">
            <w:pPr>
              <w:tabs>
                <w:tab w:val="left" w:pos="9639"/>
              </w:tabs>
              <w:suppressAutoHyphens/>
              <w:spacing w:line="252" w:lineRule="auto"/>
              <w:ind w:left="-43" w:right="-68"/>
              <w:jc w:val="center"/>
              <w:rPr>
                <w:rFonts w:eastAsia="Times New Roman" w:cs="Times New Roman"/>
                <w:color w:val="000000"/>
                <w:sz w:val="24"/>
                <w:szCs w:val="24"/>
                <w:lang w:eastAsia="ar-SA"/>
              </w:rPr>
            </w:pPr>
            <w:r w:rsidRPr="004875A3">
              <w:rPr>
                <w:rFonts w:eastAsia="Times New Roman" w:cs="Times New Roman"/>
                <w:color w:val="000000"/>
                <w:sz w:val="24"/>
                <w:szCs w:val="24"/>
                <w:lang w:eastAsia="ar-SA"/>
              </w:rPr>
              <w:t>1</w:t>
            </w:r>
          </w:p>
        </w:tc>
      </w:tr>
    </w:tbl>
    <w:p w:rsidR="004875A3" w:rsidRDefault="004875A3" w:rsidP="004875A3">
      <w:pPr>
        <w:autoSpaceDE w:val="0"/>
        <w:autoSpaceDN w:val="0"/>
        <w:adjustRightInd w:val="0"/>
        <w:jc w:val="both"/>
        <w:rPr>
          <w:rFonts w:ascii="TimesNewRomanPS-ItalicMT" w:hAnsi="TimesNewRomanPS-ItalicMT" w:cs="TimesNewRomanPS-ItalicMT"/>
          <w:iCs/>
          <w:sz w:val="26"/>
          <w:szCs w:val="26"/>
        </w:rPr>
      </w:pPr>
    </w:p>
    <w:p w:rsidR="004875A3" w:rsidRPr="009E7824" w:rsidRDefault="004C04DB" w:rsidP="004875A3">
      <w:pPr>
        <w:pStyle w:val="a7"/>
        <w:widowControl w:val="0"/>
        <w:tabs>
          <w:tab w:val="clear" w:pos="1134"/>
          <w:tab w:val="left" w:pos="708"/>
        </w:tabs>
        <w:spacing w:before="0" w:after="0"/>
        <w:ind w:firstLine="567"/>
        <w:rPr>
          <w:rFonts w:ascii="Times New Roman" w:hAnsi="Times New Roman" w:cs="Times New Roman"/>
          <w:sz w:val="26"/>
          <w:szCs w:val="26"/>
        </w:rPr>
      </w:pPr>
      <w:r w:rsidRPr="004875A3">
        <w:rPr>
          <w:rFonts w:ascii="Times New Roman" w:hAnsi="Times New Roman" w:cs="Times New Roman"/>
          <w:iCs/>
          <w:sz w:val="26"/>
          <w:szCs w:val="26"/>
        </w:rPr>
        <w:t>4.</w:t>
      </w:r>
      <w:r w:rsidR="004875A3" w:rsidRPr="004875A3">
        <w:rPr>
          <w:rFonts w:ascii="Times New Roman" w:hAnsi="Times New Roman" w:cs="Times New Roman"/>
          <w:sz w:val="26"/>
          <w:szCs w:val="26"/>
        </w:rPr>
        <w:t xml:space="preserve"> </w:t>
      </w:r>
      <w:r w:rsidR="004875A3" w:rsidRPr="004875A3">
        <w:rPr>
          <w:rFonts w:ascii="Times New Roman" w:hAnsi="Times New Roman" w:cs="Times New Roman"/>
          <w:sz w:val="26"/>
          <w:szCs w:val="26"/>
          <w:u w:val="single"/>
        </w:rPr>
        <w:t>Обґрунтування очікуваної вартості закупівлі:</w:t>
      </w:r>
      <w:r w:rsidR="004875A3" w:rsidRPr="004875A3">
        <w:rPr>
          <w:rFonts w:ascii="Times New Roman" w:hAnsi="Times New Roman" w:cs="Times New Roman"/>
          <w:sz w:val="26"/>
          <w:szCs w:val="26"/>
        </w:rPr>
        <w:t xml:space="preserve"> </w:t>
      </w:r>
      <w:r w:rsidR="004875A3" w:rsidRPr="009E7824">
        <w:rPr>
          <w:rFonts w:ascii="Times New Roman" w:hAnsi="Times New Roman" w:cs="Times New Roman"/>
          <w:sz w:val="26"/>
          <w:szCs w:val="26"/>
        </w:rPr>
        <w:t>очікувана вартість</w:t>
      </w:r>
      <w:r w:rsidR="009E7824">
        <w:rPr>
          <w:rFonts w:ascii="Times New Roman" w:hAnsi="Times New Roman" w:cs="Times New Roman"/>
          <w:sz w:val="26"/>
          <w:szCs w:val="26"/>
        </w:rPr>
        <w:t xml:space="preserve"> предмета закупівлі</w:t>
      </w:r>
      <w:r w:rsidR="004875A3" w:rsidRPr="009E7824">
        <w:rPr>
          <w:rFonts w:ascii="Times New Roman" w:hAnsi="Times New Roman" w:cs="Times New Roman"/>
          <w:sz w:val="26"/>
          <w:szCs w:val="26"/>
        </w:rPr>
        <w:t xml:space="preserve"> </w:t>
      </w:r>
      <w:r w:rsidR="004875A3" w:rsidRPr="009E7824">
        <w:rPr>
          <w:rFonts w:ascii="Times New Roman" w:hAnsi="Times New Roman" w:cs="Times New Roman"/>
          <w:iCs/>
          <w:sz w:val="26"/>
          <w:szCs w:val="26"/>
        </w:rPr>
        <w:t>складає 3 646 310,00 грн</w:t>
      </w:r>
      <w:r w:rsidR="009E7824">
        <w:rPr>
          <w:rFonts w:ascii="Times New Roman" w:hAnsi="Times New Roman" w:cs="Times New Roman"/>
          <w:iCs/>
          <w:sz w:val="26"/>
          <w:szCs w:val="26"/>
        </w:rPr>
        <w:t>.</w:t>
      </w:r>
    </w:p>
    <w:p w:rsidR="004875A3" w:rsidRDefault="004875A3" w:rsidP="009E7824">
      <w:pPr>
        <w:autoSpaceDE w:val="0"/>
        <w:autoSpaceDN w:val="0"/>
        <w:adjustRightInd w:val="0"/>
        <w:ind w:firstLine="851"/>
        <w:jc w:val="both"/>
        <w:rPr>
          <w:rFonts w:cs="Times New Roman"/>
          <w:iCs/>
          <w:sz w:val="26"/>
          <w:szCs w:val="26"/>
        </w:rPr>
      </w:pPr>
      <w:r w:rsidRPr="004875A3">
        <w:rPr>
          <w:rFonts w:cs="Times New Roman"/>
          <w:iCs/>
          <w:sz w:val="26"/>
          <w:szCs w:val="26"/>
        </w:rPr>
        <w:t>Розрахунок очікуваної вартості закупівлі послуг з передачі програмної продукції ESET PROTECT Enterprise On-prem для захисту 12 350 об’єктів (модернізація) сформовано відповідно до примірної методики визначення</w:t>
      </w:r>
      <w:r>
        <w:rPr>
          <w:rFonts w:cs="Times New Roman"/>
          <w:iCs/>
          <w:sz w:val="26"/>
          <w:szCs w:val="26"/>
        </w:rPr>
        <w:t xml:space="preserve"> </w:t>
      </w:r>
      <w:r w:rsidRPr="004875A3">
        <w:rPr>
          <w:rFonts w:cs="Times New Roman"/>
          <w:iCs/>
          <w:sz w:val="26"/>
          <w:szCs w:val="26"/>
        </w:rPr>
        <w:t xml:space="preserve">очікуваної вартості предмета закупівлі, затвердженої наказом Міністерства розвитку економіки, </w:t>
      </w:r>
      <w:r w:rsidRPr="004875A3">
        <w:rPr>
          <w:rFonts w:cs="Times New Roman"/>
          <w:iCs/>
          <w:sz w:val="26"/>
          <w:szCs w:val="26"/>
        </w:rPr>
        <w:lastRenderedPageBreak/>
        <w:t>торгівлі та сільського господарства України від 18.02.2020 № 275 на підставі проведеного аналізу цін на аналогічні за технічними характеристиками послуги шляхом направлення листів потенційним учасникам процедури закупівлі, а саме листи від 06.10.2025 № 23/23-04-01/14/386 на Товариство з обмеженою відповідальністю «ІТ-ДЕВЕЛОПМЕНТ»,</w:t>
      </w:r>
      <w:r>
        <w:rPr>
          <w:rFonts w:cs="Times New Roman"/>
          <w:iCs/>
          <w:sz w:val="26"/>
          <w:szCs w:val="26"/>
        </w:rPr>
        <w:t xml:space="preserve"> </w:t>
      </w:r>
      <w:r w:rsidRPr="004875A3">
        <w:rPr>
          <w:rFonts w:cs="Times New Roman"/>
          <w:iCs/>
          <w:sz w:val="26"/>
          <w:szCs w:val="26"/>
        </w:rPr>
        <w:t xml:space="preserve">від 24.10.2025 № 23/23-04-01/14/406 на Товариство з обмеженою відповідальністю «Антек Про» та від 24.10.2025 № 23/23-04-01/14/405 на Товариство з обмеженою відповідальністю «СОФТКЕЙ ЮА». Відповідно до цінових пропозицій вартість зазначених послуг складає: ТОВ «ІТ-ДЕВЕЛОПМЕНТ» - 3 638 310,00 грн, ТОВ «Антек Про» - 3 662 310,00 грн, </w:t>
      </w:r>
      <w:r>
        <w:rPr>
          <w:rFonts w:cs="Times New Roman"/>
          <w:iCs/>
          <w:sz w:val="26"/>
          <w:szCs w:val="26"/>
        </w:rPr>
        <w:t xml:space="preserve"> </w:t>
      </w:r>
      <w:r w:rsidRPr="004875A3">
        <w:rPr>
          <w:rFonts w:cs="Times New Roman"/>
          <w:iCs/>
          <w:sz w:val="26"/>
          <w:szCs w:val="26"/>
        </w:rPr>
        <w:t>ТОВ «СОФТКЕЙ ЮА» - 3 638 310,00 грн.</w:t>
      </w:r>
    </w:p>
    <w:p w:rsidR="004875A3" w:rsidRDefault="004875A3" w:rsidP="004875A3">
      <w:pPr>
        <w:autoSpaceDE w:val="0"/>
        <w:autoSpaceDN w:val="0"/>
        <w:adjustRightInd w:val="0"/>
        <w:ind w:firstLine="284"/>
        <w:jc w:val="both"/>
        <w:rPr>
          <w:rFonts w:cs="Times New Roman"/>
          <w:iCs/>
          <w:sz w:val="26"/>
          <w:szCs w:val="26"/>
        </w:rPr>
      </w:pPr>
      <w:r w:rsidRPr="004875A3">
        <w:rPr>
          <w:rFonts w:cs="Times New Roman"/>
          <w:iCs/>
          <w:sz w:val="26"/>
          <w:szCs w:val="26"/>
        </w:rPr>
        <w:t>Отже, середня вартість послуг з передачі програмної продукції ESET PROTECT Enterprise On-prem для захисту 12 350 об’єктів (модернізація) складає 3 646 310,00 грн.</w:t>
      </w:r>
    </w:p>
    <w:p w:rsidR="004875A3" w:rsidRPr="004C04DB" w:rsidRDefault="004875A3" w:rsidP="004C04DB">
      <w:pPr>
        <w:autoSpaceDE w:val="0"/>
        <w:autoSpaceDN w:val="0"/>
        <w:adjustRightInd w:val="0"/>
        <w:jc w:val="both"/>
        <w:rPr>
          <w:rFonts w:cs="Times New Roman"/>
          <w:iCs/>
          <w:sz w:val="26"/>
          <w:szCs w:val="26"/>
        </w:rPr>
      </w:pPr>
    </w:p>
    <w:sectPr w:rsidR="004875A3" w:rsidRPr="004C04DB" w:rsidSect="006428A6">
      <w:footerReference w:type="default" r:id="rId7"/>
      <w:pgSz w:w="11906" w:h="16838"/>
      <w:pgMar w:top="850" w:right="850" w:bottom="850"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8A6" w:rsidRDefault="006428A6" w:rsidP="006428A6">
      <w:r>
        <w:separator/>
      </w:r>
    </w:p>
  </w:endnote>
  <w:endnote w:type="continuationSeparator" w:id="0">
    <w:p w:rsidR="006428A6" w:rsidRDefault="006428A6" w:rsidP="00642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altName w:val="Century Gothic"/>
    <w:panose1 w:val="020B0502040204020203"/>
    <w:charset w:val="CC"/>
    <w:family w:val="swiss"/>
    <w:pitch w:val="variable"/>
    <w:sig w:usb0="E4002EFF" w:usb1="C000E47F" w:usb2="00000009" w:usb3="00000000" w:csb0="000001FF"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999411"/>
      <w:docPartObj>
        <w:docPartGallery w:val="Page Numbers (Bottom of Page)"/>
        <w:docPartUnique/>
      </w:docPartObj>
    </w:sdtPr>
    <w:sdtEndPr/>
    <w:sdtContent>
      <w:p w:rsidR="006428A6" w:rsidRDefault="006428A6">
        <w:pPr>
          <w:pStyle w:val="af"/>
          <w:jc w:val="center"/>
        </w:pPr>
        <w:r>
          <w:fldChar w:fldCharType="begin"/>
        </w:r>
        <w:r>
          <w:instrText>PAGE   \* MERGEFORMAT</w:instrText>
        </w:r>
        <w:r>
          <w:fldChar w:fldCharType="separate"/>
        </w:r>
        <w:r w:rsidR="002218FF">
          <w:rPr>
            <w:noProof/>
          </w:rPr>
          <w:t>4</w:t>
        </w:r>
        <w:r>
          <w:fldChar w:fldCharType="end"/>
        </w:r>
      </w:p>
    </w:sdtContent>
  </w:sdt>
  <w:p w:rsidR="006428A6" w:rsidRDefault="006428A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8A6" w:rsidRDefault="006428A6" w:rsidP="006428A6">
      <w:r>
        <w:separator/>
      </w:r>
    </w:p>
  </w:footnote>
  <w:footnote w:type="continuationSeparator" w:id="0">
    <w:p w:rsidR="006428A6" w:rsidRDefault="006428A6" w:rsidP="00642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803C66"/>
    <w:multiLevelType w:val="multilevel"/>
    <w:tmpl w:val="C260518A"/>
    <w:lvl w:ilvl="0">
      <w:start w:val="4"/>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EE232CA"/>
    <w:multiLevelType w:val="hybridMultilevel"/>
    <w:tmpl w:val="979E1094"/>
    <w:lvl w:ilvl="0" w:tplc="5EB24968">
      <w:start w:val="1"/>
      <w:numFmt w:val="decimal"/>
      <w:pStyle w:val="a"/>
      <w:lvlText w:val="%1."/>
      <w:lvlJc w:val="left"/>
      <w:pPr>
        <w:ind w:left="927" w:hanging="360"/>
      </w:pPr>
      <w:rPr>
        <w:rFonts w:hint="default"/>
        <w:b/>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7183443"/>
    <w:multiLevelType w:val="multilevel"/>
    <w:tmpl w:val="3B9E6CAC"/>
    <w:lvl w:ilvl="0">
      <w:start w:val="4"/>
      <w:numFmt w:val="decimal"/>
      <w:lvlText w:val="%1."/>
      <w:lvlJc w:val="left"/>
      <w:pPr>
        <w:ind w:left="450" w:hanging="450"/>
      </w:pPr>
      <w:rPr>
        <w:rFonts w:hint="default"/>
      </w:rPr>
    </w:lvl>
    <w:lvl w:ilvl="1">
      <w:start w:val="1"/>
      <w:numFmt w:val="decimal"/>
      <w:lvlText w:val="%1.%2."/>
      <w:lvlJc w:val="left"/>
      <w:pPr>
        <w:ind w:left="1865" w:hanging="720"/>
      </w:pPr>
      <w:rPr>
        <w:rFonts w:hint="default"/>
      </w:rPr>
    </w:lvl>
    <w:lvl w:ilvl="2">
      <w:start w:val="1"/>
      <w:numFmt w:val="decimal"/>
      <w:lvlText w:val="%1.%2.%3."/>
      <w:lvlJc w:val="left"/>
      <w:pPr>
        <w:ind w:left="3010" w:hanging="720"/>
      </w:pPr>
      <w:rPr>
        <w:rFonts w:hint="default"/>
      </w:rPr>
    </w:lvl>
    <w:lvl w:ilvl="3">
      <w:start w:val="1"/>
      <w:numFmt w:val="decimal"/>
      <w:lvlText w:val="%1.%2.%3.%4."/>
      <w:lvlJc w:val="left"/>
      <w:pPr>
        <w:ind w:left="4515" w:hanging="1080"/>
      </w:pPr>
      <w:rPr>
        <w:rFonts w:hint="default"/>
      </w:rPr>
    </w:lvl>
    <w:lvl w:ilvl="4">
      <w:start w:val="1"/>
      <w:numFmt w:val="decimal"/>
      <w:lvlText w:val="%1.%2.%3.%4.%5."/>
      <w:lvlJc w:val="left"/>
      <w:pPr>
        <w:ind w:left="5660" w:hanging="1080"/>
      </w:pPr>
      <w:rPr>
        <w:rFonts w:hint="default"/>
      </w:rPr>
    </w:lvl>
    <w:lvl w:ilvl="5">
      <w:start w:val="1"/>
      <w:numFmt w:val="decimal"/>
      <w:lvlText w:val="%1.%2.%3.%4.%5.%6."/>
      <w:lvlJc w:val="left"/>
      <w:pPr>
        <w:ind w:left="7165" w:hanging="1440"/>
      </w:pPr>
      <w:rPr>
        <w:rFonts w:hint="default"/>
      </w:rPr>
    </w:lvl>
    <w:lvl w:ilvl="6">
      <w:start w:val="1"/>
      <w:numFmt w:val="decimal"/>
      <w:lvlText w:val="%1.%2.%3.%4.%5.%6.%7."/>
      <w:lvlJc w:val="left"/>
      <w:pPr>
        <w:ind w:left="8670" w:hanging="1800"/>
      </w:pPr>
      <w:rPr>
        <w:rFonts w:hint="default"/>
      </w:rPr>
    </w:lvl>
    <w:lvl w:ilvl="7">
      <w:start w:val="1"/>
      <w:numFmt w:val="decimal"/>
      <w:lvlText w:val="%1.%2.%3.%4.%5.%6.%7.%8."/>
      <w:lvlJc w:val="left"/>
      <w:pPr>
        <w:ind w:left="9815" w:hanging="1800"/>
      </w:pPr>
      <w:rPr>
        <w:rFonts w:hint="default"/>
      </w:rPr>
    </w:lvl>
    <w:lvl w:ilvl="8">
      <w:start w:val="1"/>
      <w:numFmt w:val="decimal"/>
      <w:lvlText w:val="%1.%2.%3.%4.%5.%6.%7.%8.%9."/>
      <w:lvlJc w:val="left"/>
      <w:pPr>
        <w:ind w:left="11320" w:hanging="2160"/>
      </w:pPr>
      <w:rPr>
        <w:rFonts w:hint="default"/>
      </w:rPr>
    </w:lvl>
  </w:abstractNum>
  <w:abstractNum w:abstractNumId="4"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5" w15:restartNumberingAfterBreak="0">
    <w:nsid w:val="1F2050DF"/>
    <w:multiLevelType w:val="hybridMultilevel"/>
    <w:tmpl w:val="E89891A8"/>
    <w:lvl w:ilvl="0" w:tplc="D8B6609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041035"/>
    <w:multiLevelType w:val="multilevel"/>
    <w:tmpl w:val="8A766288"/>
    <w:lvl w:ilvl="0">
      <w:start w:val="4"/>
      <w:numFmt w:val="decimal"/>
      <w:lvlText w:val="%1."/>
      <w:lvlJc w:val="left"/>
      <w:pPr>
        <w:ind w:left="675" w:hanging="675"/>
      </w:pPr>
      <w:rPr>
        <w:rFonts w:hint="default"/>
      </w:rPr>
    </w:lvl>
    <w:lvl w:ilvl="1">
      <w:start w:val="8"/>
      <w:numFmt w:val="decimal"/>
      <w:lvlText w:val="%1.%2."/>
      <w:lvlJc w:val="left"/>
      <w:pPr>
        <w:ind w:left="900" w:hanging="720"/>
      </w:pPr>
      <w:rPr>
        <w:rFonts w:hint="default"/>
      </w:rPr>
    </w:lvl>
    <w:lvl w:ilvl="2">
      <w:start w:val="2"/>
      <w:numFmt w:val="decimal"/>
      <w:lvlText w:val="%1.%2.%3."/>
      <w:lvlJc w:val="left"/>
      <w:pPr>
        <w:ind w:left="1080" w:hanging="720"/>
      </w:pPr>
      <w:rPr>
        <w:rFonts w:hint="default"/>
        <w:sz w:val="28"/>
        <w:lang w:val="ru-RU"/>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2CCE0BD7"/>
    <w:multiLevelType w:val="hybridMultilevel"/>
    <w:tmpl w:val="F7ECD61A"/>
    <w:lvl w:ilvl="0" w:tplc="73DA09D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9" w15:restartNumberingAfterBreak="0">
    <w:nsid w:val="6C06723B"/>
    <w:multiLevelType w:val="hybridMultilevel"/>
    <w:tmpl w:val="E3DAA38E"/>
    <w:lvl w:ilvl="0" w:tplc="52CCE7D2">
      <w:start w:val="2"/>
      <w:numFmt w:val="decimal"/>
      <w:lvlText w:val="%1."/>
      <w:lvlJc w:val="left"/>
      <w:pPr>
        <w:ind w:left="1572" w:hanging="360"/>
      </w:pPr>
      <w:rPr>
        <w:rFonts w:hint="default"/>
      </w:rPr>
    </w:lvl>
    <w:lvl w:ilvl="1" w:tplc="04220019" w:tentative="1">
      <w:start w:val="1"/>
      <w:numFmt w:val="lowerLetter"/>
      <w:lvlText w:val="%2."/>
      <w:lvlJc w:val="left"/>
      <w:pPr>
        <w:ind w:left="2292" w:hanging="360"/>
      </w:pPr>
    </w:lvl>
    <w:lvl w:ilvl="2" w:tplc="0422001B" w:tentative="1">
      <w:start w:val="1"/>
      <w:numFmt w:val="lowerRoman"/>
      <w:lvlText w:val="%3."/>
      <w:lvlJc w:val="right"/>
      <w:pPr>
        <w:ind w:left="3012" w:hanging="180"/>
      </w:pPr>
    </w:lvl>
    <w:lvl w:ilvl="3" w:tplc="0422000F" w:tentative="1">
      <w:start w:val="1"/>
      <w:numFmt w:val="decimal"/>
      <w:lvlText w:val="%4."/>
      <w:lvlJc w:val="left"/>
      <w:pPr>
        <w:ind w:left="3732" w:hanging="360"/>
      </w:pPr>
    </w:lvl>
    <w:lvl w:ilvl="4" w:tplc="04220019" w:tentative="1">
      <w:start w:val="1"/>
      <w:numFmt w:val="lowerLetter"/>
      <w:lvlText w:val="%5."/>
      <w:lvlJc w:val="left"/>
      <w:pPr>
        <w:ind w:left="4452" w:hanging="360"/>
      </w:pPr>
    </w:lvl>
    <w:lvl w:ilvl="5" w:tplc="0422001B" w:tentative="1">
      <w:start w:val="1"/>
      <w:numFmt w:val="lowerRoman"/>
      <w:lvlText w:val="%6."/>
      <w:lvlJc w:val="right"/>
      <w:pPr>
        <w:ind w:left="5172" w:hanging="180"/>
      </w:pPr>
    </w:lvl>
    <w:lvl w:ilvl="6" w:tplc="0422000F" w:tentative="1">
      <w:start w:val="1"/>
      <w:numFmt w:val="decimal"/>
      <w:lvlText w:val="%7."/>
      <w:lvlJc w:val="left"/>
      <w:pPr>
        <w:ind w:left="5892" w:hanging="360"/>
      </w:pPr>
    </w:lvl>
    <w:lvl w:ilvl="7" w:tplc="04220019" w:tentative="1">
      <w:start w:val="1"/>
      <w:numFmt w:val="lowerLetter"/>
      <w:lvlText w:val="%8."/>
      <w:lvlJc w:val="left"/>
      <w:pPr>
        <w:ind w:left="6612" w:hanging="360"/>
      </w:pPr>
    </w:lvl>
    <w:lvl w:ilvl="8" w:tplc="0422001B" w:tentative="1">
      <w:start w:val="1"/>
      <w:numFmt w:val="lowerRoman"/>
      <w:lvlText w:val="%9."/>
      <w:lvlJc w:val="right"/>
      <w:pPr>
        <w:ind w:left="7332" w:hanging="180"/>
      </w:pPr>
    </w:lvl>
  </w:abstractNum>
  <w:abstractNum w:abstractNumId="10" w15:restartNumberingAfterBreak="0">
    <w:nsid w:val="78FA4F3D"/>
    <w:multiLevelType w:val="hybridMultilevel"/>
    <w:tmpl w:val="AB62491C"/>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1" w15:restartNumberingAfterBreak="0">
    <w:nsid w:val="7B275466"/>
    <w:multiLevelType w:val="hybridMultilevel"/>
    <w:tmpl w:val="19400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10"/>
  </w:num>
  <w:num w:numId="3">
    <w:abstractNumId w:val="5"/>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1"/>
  </w:num>
  <w:num w:numId="6">
    <w:abstractNumId w:val="4"/>
  </w:num>
  <w:num w:numId="7">
    <w:abstractNumId w:val="7"/>
  </w:num>
  <w:num w:numId="8">
    <w:abstractNumId w:val="6"/>
  </w:num>
  <w:num w:numId="9">
    <w:abstractNumId w:val="1"/>
  </w:num>
  <w:num w:numId="10">
    <w:abstractNumId w:val="3"/>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3718E"/>
    <w:rsid w:val="0004296F"/>
    <w:rsid w:val="000C6E30"/>
    <w:rsid w:val="000D36A4"/>
    <w:rsid w:val="000E5E69"/>
    <w:rsid w:val="002218FF"/>
    <w:rsid w:val="00234016"/>
    <w:rsid w:val="00272E34"/>
    <w:rsid w:val="00327A17"/>
    <w:rsid w:val="004218DD"/>
    <w:rsid w:val="004775FD"/>
    <w:rsid w:val="004875A3"/>
    <w:rsid w:val="004C04DB"/>
    <w:rsid w:val="005224D5"/>
    <w:rsid w:val="005527AD"/>
    <w:rsid w:val="006370C7"/>
    <w:rsid w:val="006428A6"/>
    <w:rsid w:val="0064587E"/>
    <w:rsid w:val="00667FF9"/>
    <w:rsid w:val="0070425A"/>
    <w:rsid w:val="00860A1D"/>
    <w:rsid w:val="008B2BC8"/>
    <w:rsid w:val="00992BA6"/>
    <w:rsid w:val="009E7824"/>
    <w:rsid w:val="00A238BF"/>
    <w:rsid w:val="00B24970"/>
    <w:rsid w:val="00B50CD5"/>
    <w:rsid w:val="00C165F5"/>
    <w:rsid w:val="00C761E7"/>
    <w:rsid w:val="00C76690"/>
    <w:rsid w:val="00D64E2E"/>
    <w:rsid w:val="00FC28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1ADC"/>
  <w15:chartTrackingRefBased/>
  <w15:docId w15:val="{3A87DD16-B0D4-4327-AC45-AE04E66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718E"/>
    <w:pPr>
      <w:spacing w:after="0" w:line="240" w:lineRule="auto"/>
    </w:pPr>
    <w:rPr>
      <w:rFonts w:ascii="Times New Roman" w:hAnsi="Times New Roman"/>
      <w:sz w:val="28"/>
    </w:rPr>
  </w:style>
  <w:style w:type="paragraph" w:styleId="2">
    <w:name w:val="heading 2"/>
    <w:basedOn w:val="a0"/>
    <w:next w:val="a0"/>
    <w:link w:val="20"/>
    <w:uiPriority w:val="9"/>
    <w:unhideWhenUsed/>
    <w:qFormat/>
    <w:rsid w:val="0064587E"/>
    <w:pPr>
      <w:widowControl w:val="0"/>
      <w:spacing w:before="123" w:after="120" w:line="360" w:lineRule="auto"/>
      <w:ind w:firstLine="425"/>
      <w:jc w:val="both"/>
      <w:outlineLvl w:val="1"/>
    </w:pPr>
    <w:rPr>
      <w:rFonts w:ascii="Tahoma" w:eastAsia="Calibri" w:hAnsi="Tahoma" w:cs="Calibri"/>
      <w:b/>
      <w:bCs/>
      <w:color w:val="7F7F7F" w:themeColor="text1" w:themeTint="80"/>
      <w:szCs w:val="28"/>
      <w:lang w:val="ru-RU"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Number Bullets"/>
    <w:basedOn w:val="a0"/>
    <w:link w:val="a5"/>
    <w:uiPriority w:val="99"/>
    <w:qFormat/>
    <w:rsid w:val="0003718E"/>
    <w:pPr>
      <w:ind w:left="720"/>
      <w:contextualSpacing/>
    </w:pPr>
  </w:style>
  <w:style w:type="character" w:customStyle="1" w:styleId="a5">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4"/>
    <w:uiPriority w:val="99"/>
    <w:qFormat/>
    <w:rsid w:val="0003718E"/>
    <w:rPr>
      <w:rFonts w:ascii="Times New Roman" w:hAnsi="Times New Roman"/>
      <w:sz w:val="28"/>
    </w:rPr>
  </w:style>
  <w:style w:type="character" w:styleId="a6">
    <w:name w:val="Emphasis"/>
    <w:uiPriority w:val="99"/>
    <w:qFormat/>
    <w:rsid w:val="005527AD"/>
    <w:rPr>
      <w:i/>
      <w:iCs/>
    </w:rPr>
  </w:style>
  <w:style w:type="paragraph" w:customStyle="1" w:styleId="a7">
    <w:name w:val="Номер"/>
    <w:basedOn w:val="a0"/>
    <w:qFormat/>
    <w:rsid w:val="005527AD"/>
    <w:pPr>
      <w:tabs>
        <w:tab w:val="num" w:pos="1134"/>
      </w:tabs>
      <w:spacing w:before="120" w:after="120"/>
      <w:ind w:firstLine="709"/>
      <w:jc w:val="both"/>
    </w:pPr>
    <w:rPr>
      <w:rFonts w:ascii="Calibri" w:eastAsia="Times New Roman" w:hAnsi="Calibri" w:cs="Calibri"/>
      <w:szCs w:val="28"/>
      <w:lang w:eastAsia="ru-RU"/>
    </w:rPr>
  </w:style>
  <w:style w:type="paragraph" w:customStyle="1" w:styleId="21">
    <w:name w:val="Номер2"/>
    <w:basedOn w:val="a7"/>
    <w:qFormat/>
    <w:rsid w:val="004218DD"/>
    <w:pPr>
      <w:tabs>
        <w:tab w:val="clear" w:pos="1134"/>
        <w:tab w:val="num" w:pos="5104"/>
      </w:tabs>
      <w:spacing w:before="0"/>
      <w:ind w:left="3686"/>
    </w:pPr>
    <w:rPr>
      <w:rFonts w:ascii="Times New Roman" w:hAnsi="Times New Roman" w:cs="Times New Roman"/>
      <w:szCs w:val="24"/>
      <w:lang w:val="x-none"/>
    </w:rPr>
  </w:style>
  <w:style w:type="paragraph" w:customStyle="1" w:styleId="3">
    <w:name w:val="Номер3"/>
    <w:basedOn w:val="21"/>
    <w:rsid w:val="004218DD"/>
    <w:pPr>
      <w:tabs>
        <w:tab w:val="clear" w:pos="5104"/>
        <w:tab w:val="num" w:pos="1701"/>
      </w:tabs>
      <w:ind w:left="0"/>
    </w:pPr>
  </w:style>
  <w:style w:type="paragraph" w:customStyle="1" w:styleId="4">
    <w:name w:val="Номер4"/>
    <w:basedOn w:val="3"/>
    <w:rsid w:val="004218DD"/>
    <w:pPr>
      <w:tabs>
        <w:tab w:val="clear" w:pos="1701"/>
        <w:tab w:val="num" w:pos="1985"/>
      </w:tabs>
    </w:pPr>
  </w:style>
  <w:style w:type="paragraph" w:customStyle="1" w:styleId="5">
    <w:name w:val="Номер5"/>
    <w:basedOn w:val="4"/>
    <w:rsid w:val="004218DD"/>
    <w:pPr>
      <w:tabs>
        <w:tab w:val="clear" w:pos="1985"/>
        <w:tab w:val="num" w:pos="2268"/>
      </w:tabs>
    </w:pPr>
  </w:style>
  <w:style w:type="paragraph" w:customStyle="1" w:styleId="6">
    <w:name w:val="Номер6"/>
    <w:basedOn w:val="5"/>
    <w:rsid w:val="004218DD"/>
    <w:pPr>
      <w:tabs>
        <w:tab w:val="clear" w:pos="2268"/>
        <w:tab w:val="num" w:pos="2552"/>
      </w:tabs>
    </w:pPr>
  </w:style>
  <w:style w:type="paragraph" w:customStyle="1" w:styleId="7">
    <w:name w:val="Номер7"/>
    <w:basedOn w:val="6"/>
    <w:rsid w:val="004218DD"/>
    <w:pPr>
      <w:tabs>
        <w:tab w:val="clear" w:pos="2552"/>
        <w:tab w:val="num" w:pos="2835"/>
      </w:tabs>
    </w:pPr>
  </w:style>
  <w:style w:type="paragraph" w:customStyle="1" w:styleId="8">
    <w:name w:val="Номер8"/>
    <w:basedOn w:val="7"/>
    <w:rsid w:val="004218DD"/>
    <w:pPr>
      <w:tabs>
        <w:tab w:val="clear" w:pos="2835"/>
        <w:tab w:val="num" w:pos="3119"/>
      </w:tabs>
    </w:pPr>
  </w:style>
  <w:style w:type="paragraph" w:customStyle="1" w:styleId="9">
    <w:name w:val="Номер9"/>
    <w:basedOn w:val="8"/>
    <w:rsid w:val="004218DD"/>
    <w:pPr>
      <w:tabs>
        <w:tab w:val="clear" w:pos="3119"/>
        <w:tab w:val="num" w:pos="3402"/>
      </w:tabs>
    </w:pPr>
  </w:style>
  <w:style w:type="character" w:customStyle="1" w:styleId="20">
    <w:name w:val="Заголовок 2 Знак"/>
    <w:basedOn w:val="a1"/>
    <w:link w:val="2"/>
    <w:uiPriority w:val="9"/>
    <w:rsid w:val="0064587E"/>
    <w:rPr>
      <w:rFonts w:ascii="Tahoma" w:eastAsia="Calibri" w:hAnsi="Tahoma" w:cs="Calibri"/>
      <w:b/>
      <w:bCs/>
      <w:color w:val="7F7F7F" w:themeColor="text1" w:themeTint="80"/>
      <w:sz w:val="28"/>
      <w:szCs w:val="28"/>
      <w:lang w:val="ru-RU" w:eastAsia="uk-UA"/>
    </w:rPr>
  </w:style>
  <w:style w:type="table" w:styleId="a8">
    <w:name w:val="Table Grid"/>
    <w:basedOn w:val="a2"/>
    <w:uiPriority w:val="59"/>
    <w:rsid w:val="0064587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link w:val="80"/>
    <w:rsid w:val="0064587E"/>
    <w:rPr>
      <w:rFonts w:ascii="Times New Roman" w:hAnsi="Times New Roman" w:cs="Times New Roman"/>
      <w:sz w:val="23"/>
      <w:szCs w:val="23"/>
      <w:shd w:val="clear" w:color="auto" w:fill="FFFFFF"/>
    </w:rPr>
  </w:style>
  <w:style w:type="paragraph" w:customStyle="1" w:styleId="80">
    <w:name w:val="Основной текст8"/>
    <w:basedOn w:val="a0"/>
    <w:link w:val="a9"/>
    <w:rsid w:val="0064587E"/>
    <w:pPr>
      <w:widowControl w:val="0"/>
      <w:shd w:val="clear" w:color="auto" w:fill="FFFFFF"/>
      <w:spacing w:before="540" w:after="300" w:line="0" w:lineRule="atLeast"/>
      <w:ind w:hanging="360"/>
      <w:jc w:val="both"/>
    </w:pPr>
    <w:rPr>
      <w:rFonts w:cs="Times New Roman"/>
      <w:sz w:val="23"/>
      <w:szCs w:val="23"/>
    </w:rPr>
  </w:style>
  <w:style w:type="paragraph" w:styleId="aa">
    <w:name w:val="Balloon Text"/>
    <w:basedOn w:val="a0"/>
    <w:link w:val="ab"/>
    <w:uiPriority w:val="99"/>
    <w:semiHidden/>
    <w:unhideWhenUsed/>
    <w:rsid w:val="00C76690"/>
    <w:rPr>
      <w:rFonts w:ascii="Segoe UI" w:hAnsi="Segoe UI" w:cs="Segoe UI"/>
      <w:sz w:val="18"/>
      <w:szCs w:val="18"/>
    </w:rPr>
  </w:style>
  <w:style w:type="character" w:customStyle="1" w:styleId="ab">
    <w:name w:val="Текст у виносці Знак"/>
    <w:basedOn w:val="a1"/>
    <w:link w:val="aa"/>
    <w:uiPriority w:val="99"/>
    <w:semiHidden/>
    <w:rsid w:val="00C76690"/>
    <w:rPr>
      <w:rFonts w:ascii="Segoe UI" w:hAnsi="Segoe UI" w:cs="Segoe UI"/>
      <w:sz w:val="18"/>
      <w:szCs w:val="18"/>
    </w:rPr>
  </w:style>
  <w:style w:type="paragraph" w:customStyle="1" w:styleId="ac">
    <w:name w:val="Абзац ТВ"/>
    <w:basedOn w:val="a0"/>
    <w:rsid w:val="00667FF9"/>
    <w:pPr>
      <w:ind w:firstLine="567"/>
      <w:jc w:val="both"/>
    </w:pPr>
    <w:rPr>
      <w:rFonts w:eastAsia="Calibri" w:cs="Times New Roman"/>
      <w:sz w:val="24"/>
      <w:szCs w:val="24"/>
      <w:lang w:eastAsia="uk-UA"/>
    </w:rPr>
  </w:style>
  <w:style w:type="paragraph" w:customStyle="1" w:styleId="a">
    <w:name w:val="Пункт ТВ"/>
    <w:basedOn w:val="a0"/>
    <w:rsid w:val="00667FF9"/>
    <w:pPr>
      <w:numPr>
        <w:numId w:val="12"/>
      </w:numPr>
      <w:tabs>
        <w:tab w:val="left" w:pos="993"/>
      </w:tabs>
      <w:spacing w:before="240" w:after="120"/>
      <w:ind w:left="0" w:firstLine="567"/>
    </w:pPr>
    <w:rPr>
      <w:rFonts w:eastAsia="Calibri" w:cs="Calibri"/>
      <w:b/>
      <w:sz w:val="24"/>
      <w:szCs w:val="20"/>
    </w:rPr>
  </w:style>
  <w:style w:type="paragraph" w:styleId="ad">
    <w:name w:val="header"/>
    <w:basedOn w:val="a0"/>
    <w:link w:val="ae"/>
    <w:uiPriority w:val="99"/>
    <w:unhideWhenUsed/>
    <w:rsid w:val="006428A6"/>
    <w:pPr>
      <w:tabs>
        <w:tab w:val="center" w:pos="4819"/>
        <w:tab w:val="right" w:pos="9639"/>
      </w:tabs>
    </w:pPr>
  </w:style>
  <w:style w:type="character" w:customStyle="1" w:styleId="ae">
    <w:name w:val="Верхній колонтитул Знак"/>
    <w:basedOn w:val="a1"/>
    <w:link w:val="ad"/>
    <w:uiPriority w:val="99"/>
    <w:rsid w:val="006428A6"/>
    <w:rPr>
      <w:rFonts w:ascii="Times New Roman" w:hAnsi="Times New Roman"/>
      <w:sz w:val="28"/>
    </w:rPr>
  </w:style>
  <w:style w:type="paragraph" w:styleId="af">
    <w:name w:val="footer"/>
    <w:basedOn w:val="a0"/>
    <w:link w:val="af0"/>
    <w:uiPriority w:val="99"/>
    <w:unhideWhenUsed/>
    <w:rsid w:val="006428A6"/>
    <w:pPr>
      <w:tabs>
        <w:tab w:val="center" w:pos="4819"/>
        <w:tab w:val="right" w:pos="9639"/>
      </w:tabs>
    </w:pPr>
  </w:style>
  <w:style w:type="character" w:customStyle="1" w:styleId="af0">
    <w:name w:val="Нижній колонтитул Знак"/>
    <w:basedOn w:val="a1"/>
    <w:link w:val="af"/>
    <w:uiPriority w:val="99"/>
    <w:rsid w:val="006428A6"/>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464384">
      <w:bodyDiv w:val="1"/>
      <w:marLeft w:val="0"/>
      <w:marRight w:val="0"/>
      <w:marTop w:val="0"/>
      <w:marBottom w:val="0"/>
      <w:divBdr>
        <w:top w:val="none" w:sz="0" w:space="0" w:color="auto"/>
        <w:left w:val="none" w:sz="0" w:space="0" w:color="auto"/>
        <w:bottom w:val="none" w:sz="0" w:space="0" w:color="auto"/>
        <w:right w:val="none" w:sz="0" w:space="0" w:color="auto"/>
      </w:divBdr>
    </w:div>
    <w:div w:id="532116245">
      <w:bodyDiv w:val="1"/>
      <w:marLeft w:val="0"/>
      <w:marRight w:val="0"/>
      <w:marTop w:val="0"/>
      <w:marBottom w:val="0"/>
      <w:divBdr>
        <w:top w:val="none" w:sz="0" w:space="0" w:color="auto"/>
        <w:left w:val="none" w:sz="0" w:space="0" w:color="auto"/>
        <w:bottom w:val="none" w:sz="0" w:space="0" w:color="auto"/>
        <w:right w:val="none" w:sz="0" w:space="0" w:color="auto"/>
      </w:divBdr>
    </w:div>
    <w:div w:id="1077483516">
      <w:bodyDiv w:val="1"/>
      <w:marLeft w:val="0"/>
      <w:marRight w:val="0"/>
      <w:marTop w:val="0"/>
      <w:marBottom w:val="0"/>
      <w:divBdr>
        <w:top w:val="none" w:sz="0" w:space="0" w:color="auto"/>
        <w:left w:val="none" w:sz="0" w:space="0" w:color="auto"/>
        <w:bottom w:val="none" w:sz="0" w:space="0" w:color="auto"/>
        <w:right w:val="none" w:sz="0" w:space="0" w:color="auto"/>
      </w:divBdr>
    </w:div>
    <w:div w:id="109058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6433</Words>
  <Characters>3668</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Okhrymchuk Irina</dc:creator>
  <cp:keywords/>
  <dc:description/>
  <cp:lastModifiedBy>Охрімчук Ірина</cp:lastModifiedBy>
  <cp:revision>33</cp:revision>
  <cp:lastPrinted>2024-04-16T05:08:00Z</cp:lastPrinted>
  <dcterms:created xsi:type="dcterms:W3CDTF">2024-04-11T08:32:00Z</dcterms:created>
  <dcterms:modified xsi:type="dcterms:W3CDTF">2025-12-02T13:34:00Z</dcterms:modified>
</cp:coreProperties>
</file>