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28" w:rsidRPr="0036383E" w:rsidRDefault="00F33C28" w:rsidP="00F33C28">
      <w:pPr>
        <w:spacing w:after="0" w:line="240" w:lineRule="auto"/>
        <w:contextualSpacing/>
        <w:jc w:val="center"/>
        <w:rPr>
          <w:rFonts w:ascii="Times New Roman" w:hAnsi="Times New Roman"/>
          <w:b/>
          <w:sz w:val="24"/>
          <w:szCs w:val="24"/>
        </w:rPr>
      </w:pPr>
      <w:r w:rsidRPr="0036383E">
        <w:rPr>
          <w:rFonts w:ascii="Times New Roman" w:eastAsia="Times New Roman" w:hAnsi="Times New Roman"/>
          <w:b/>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36383E">
        <w:rPr>
          <w:rFonts w:ascii="Times New Roman" w:eastAsia="Times New Roman" w:hAnsi="Times New Roman"/>
          <w:b/>
          <w:sz w:val="24"/>
          <w:szCs w:val="24"/>
          <w:lang w:eastAsia="ru-RU"/>
        </w:rPr>
        <w:br/>
      </w:r>
      <w:r w:rsidRPr="0036383E">
        <w:rPr>
          <w:rFonts w:ascii="Times New Roman" w:hAnsi="Times New Roman"/>
          <w:b/>
          <w:sz w:val="24"/>
          <w:szCs w:val="24"/>
        </w:rPr>
        <w:t>(відповідно до пункту 4</w:t>
      </w:r>
      <w:r w:rsidRPr="0036383E">
        <w:rPr>
          <w:rFonts w:ascii="Times New Roman" w:hAnsi="Times New Roman"/>
          <w:b/>
          <w:sz w:val="24"/>
          <w:szCs w:val="24"/>
          <w:vertAlign w:val="superscript"/>
        </w:rPr>
        <w:t>1</w:t>
      </w:r>
      <w:r w:rsidRPr="0036383E">
        <w:rPr>
          <w:rFonts w:ascii="Times New Roman" w:hAnsi="Times New Roman"/>
          <w:b/>
          <w:sz w:val="24"/>
          <w:szCs w:val="24"/>
        </w:rPr>
        <w:t xml:space="preserve"> постанови КМУ «Про ефективне використання державних коштів» від 11.10.2016 № 710, зі змінами)</w:t>
      </w:r>
    </w:p>
    <w:p w:rsidR="00F33C28" w:rsidRPr="0036383E" w:rsidRDefault="00F33C28" w:rsidP="00F33C28">
      <w:pPr>
        <w:spacing w:after="0" w:line="240" w:lineRule="auto"/>
        <w:contextualSpacing/>
        <w:jc w:val="center"/>
        <w:rPr>
          <w:rFonts w:ascii="Times New Roman" w:hAnsi="Times New Roman"/>
          <w:b/>
          <w:sz w:val="24"/>
          <w:szCs w:val="24"/>
        </w:rPr>
      </w:pPr>
    </w:p>
    <w:p w:rsidR="00F33C28" w:rsidRPr="0036383E" w:rsidRDefault="00F33C28" w:rsidP="00F33C28">
      <w:pPr>
        <w:pStyle w:val="2"/>
        <w:spacing w:before="120" w:after="120"/>
        <w:ind w:firstLine="567"/>
        <w:jc w:val="both"/>
        <w:rPr>
          <w:b/>
          <w:szCs w:val="24"/>
          <w:lang w:val="uk-UA"/>
        </w:rPr>
      </w:pPr>
      <w:r w:rsidRPr="0036383E">
        <w:rPr>
          <w:b/>
          <w:szCs w:val="24"/>
          <w:lang w:val="uk-UA"/>
        </w:rPr>
        <w:t xml:space="preserve">1. Назва предмета закупівлі </w:t>
      </w:r>
    </w:p>
    <w:p w:rsidR="001615CE" w:rsidRDefault="001615CE" w:rsidP="00F33C28">
      <w:pPr>
        <w:pStyle w:val="2"/>
        <w:spacing w:before="120" w:after="120"/>
        <w:ind w:firstLine="567"/>
        <w:jc w:val="both"/>
        <w:rPr>
          <w:rFonts w:eastAsia="Calibri"/>
          <w:szCs w:val="24"/>
          <w:lang w:val="en-US" w:eastAsia="en-US"/>
        </w:rPr>
      </w:pPr>
      <w:r w:rsidRPr="001615CE">
        <w:rPr>
          <w:rFonts w:eastAsia="Calibri"/>
          <w:szCs w:val="24"/>
          <w:lang w:val="uk-UA" w:eastAsia="en-US"/>
        </w:rPr>
        <w:t xml:space="preserve">Послуги з проведення ревізії працездатності систем протипожежного захисту адміністративного комплексу: службово-виробнича будівля та гаражів Чернігівської митниці, розташованих за </w:t>
      </w:r>
      <w:proofErr w:type="spellStart"/>
      <w:r w:rsidRPr="001615CE">
        <w:rPr>
          <w:rFonts w:eastAsia="Calibri"/>
          <w:szCs w:val="24"/>
          <w:lang w:val="uk-UA" w:eastAsia="en-US"/>
        </w:rPr>
        <w:t>адресою</w:t>
      </w:r>
      <w:proofErr w:type="spellEnd"/>
      <w:r w:rsidRPr="001615CE">
        <w:rPr>
          <w:rFonts w:eastAsia="Calibri"/>
          <w:szCs w:val="24"/>
          <w:lang w:val="uk-UA" w:eastAsia="en-US"/>
        </w:rPr>
        <w:t>: м. Чернігів, проспект Перемоги, 6</w:t>
      </w:r>
    </w:p>
    <w:p w:rsidR="00F33C28" w:rsidRPr="0036383E" w:rsidRDefault="00F33C28" w:rsidP="00F33C28">
      <w:pPr>
        <w:pStyle w:val="2"/>
        <w:spacing w:before="120" w:after="120"/>
        <w:ind w:firstLine="567"/>
        <w:jc w:val="both"/>
        <w:rPr>
          <w:rFonts w:eastAsia="Calibri"/>
          <w:szCs w:val="24"/>
          <w:lang w:val="uk-UA" w:eastAsia="en-US"/>
        </w:rPr>
      </w:pPr>
      <w:r w:rsidRPr="009A2BD5">
        <w:rPr>
          <w:rFonts w:eastAsia="Calibri"/>
          <w:szCs w:val="24"/>
          <w:lang w:val="uk-UA" w:eastAsia="en-US"/>
        </w:rPr>
        <w:t xml:space="preserve">Код згідно з ДК 021:2015 – </w:t>
      </w:r>
      <w:r w:rsidR="001615CE" w:rsidRPr="001615CE">
        <w:rPr>
          <w:rFonts w:eastAsia="Calibri"/>
          <w:szCs w:val="24"/>
          <w:lang w:val="uk-UA" w:eastAsia="en-US"/>
        </w:rPr>
        <w:t>50410000-2 Послуги з ремонту і технічного обслуговування вимірювальних, випробувальних і контрольних приладів</w:t>
      </w:r>
    </w:p>
    <w:p w:rsidR="00A00902" w:rsidRPr="00C75ACE" w:rsidRDefault="00F33C28" w:rsidP="00F33C28">
      <w:pPr>
        <w:pStyle w:val="2"/>
        <w:spacing w:before="120" w:after="120"/>
        <w:ind w:firstLine="567"/>
        <w:jc w:val="both"/>
        <w:rPr>
          <w:rFonts w:eastAsia="Calibri"/>
          <w:szCs w:val="24"/>
          <w:lang w:eastAsia="en-US"/>
        </w:rPr>
      </w:pPr>
      <w:r w:rsidRPr="009A2BD5">
        <w:rPr>
          <w:rFonts w:eastAsia="Calibri"/>
          <w:szCs w:val="24"/>
          <w:lang w:val="uk-UA" w:eastAsia="en-US"/>
        </w:rPr>
        <w:t>Оголошення про проведення відкритих торгів оприлюднено в електронній системі</w:t>
      </w:r>
      <w:r w:rsidR="0092771F">
        <w:rPr>
          <w:rFonts w:eastAsia="Calibri"/>
          <w:szCs w:val="24"/>
          <w:lang w:val="uk-UA" w:eastAsia="en-US"/>
        </w:rPr>
        <w:t xml:space="preserve"> закупівель за номером </w:t>
      </w:r>
      <w:r w:rsidR="001615CE" w:rsidRPr="001615CE">
        <w:rPr>
          <w:rFonts w:eastAsia="Calibri"/>
          <w:szCs w:val="24"/>
          <w:lang w:val="uk-UA" w:eastAsia="en-US"/>
        </w:rPr>
        <w:t>UA-2025-12-03-017593-a</w:t>
      </w:r>
      <w:r w:rsidR="00C75ACE">
        <w:rPr>
          <w:rFonts w:eastAsia="Calibri"/>
          <w:szCs w:val="24"/>
          <w:lang w:val="uk-UA" w:eastAsia="en-US"/>
        </w:rPr>
        <w:t>.</w:t>
      </w:r>
    </w:p>
    <w:p w:rsidR="00F33C28" w:rsidRPr="0036383E" w:rsidRDefault="00F33C28" w:rsidP="00F33C28">
      <w:pPr>
        <w:pStyle w:val="2"/>
        <w:spacing w:before="120" w:after="120"/>
        <w:ind w:firstLine="567"/>
        <w:jc w:val="both"/>
        <w:rPr>
          <w:b/>
          <w:szCs w:val="24"/>
          <w:lang w:val="uk-UA"/>
        </w:rPr>
      </w:pPr>
      <w:r w:rsidRPr="0036383E">
        <w:rPr>
          <w:b/>
          <w:szCs w:val="24"/>
          <w:lang w:val="uk-UA"/>
        </w:rPr>
        <w:t>2. Обґрунтування технічних та якісних характеристик предмета закупівлі</w:t>
      </w:r>
    </w:p>
    <w:p w:rsidR="00F33C28" w:rsidRPr="0036383E" w:rsidRDefault="00F33C28" w:rsidP="00F33C28">
      <w:pPr>
        <w:pStyle w:val="2"/>
        <w:spacing w:before="120" w:after="120"/>
        <w:ind w:firstLine="567"/>
        <w:jc w:val="both"/>
        <w:rPr>
          <w:szCs w:val="24"/>
          <w:lang w:val="uk-UA"/>
        </w:rPr>
      </w:pPr>
      <w:r w:rsidRPr="0036383E">
        <w:rPr>
          <w:szCs w:val="24"/>
          <w:lang w:val="uk-UA"/>
        </w:rPr>
        <w:t>Технічні та якісні характеристики предмета закупівлі визначені відповідно до потреб замовника.</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Послуги повинні включати:</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1. Зовнішній огляд, визначення технічного стану систем протипожежного захисту та окремих технічних засобів (працездатне, непрацездатне) за зовнішніми ознаками і, за необхідності, із застосуванням засобів контролю:</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автоматичної системи пожежної сигналізації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 222) з обладнанням (пожежний приймально-контрольний прилад </w:t>
      </w:r>
      <w:proofErr w:type="spellStart"/>
      <w:r w:rsidRPr="001615CE">
        <w:rPr>
          <w:rFonts w:ascii="Times New Roman" w:eastAsia="Times New Roman" w:hAnsi="Times New Roman"/>
          <w:sz w:val="24"/>
          <w:szCs w:val="24"/>
          <w:lang w:eastAsia="ru-RU"/>
        </w:rPr>
        <w:t>Тірас</w:t>
      </w:r>
      <w:proofErr w:type="spellEnd"/>
      <w:r w:rsidRPr="001615CE">
        <w:rPr>
          <w:rFonts w:ascii="Times New Roman" w:eastAsia="Times New Roman" w:hAnsi="Times New Roman"/>
          <w:sz w:val="24"/>
          <w:szCs w:val="24"/>
          <w:lang w:eastAsia="ru-RU"/>
        </w:rPr>
        <w:t xml:space="preserve"> 8П.1, СПДЗ, SPR-1, </w:t>
      </w:r>
      <w:proofErr w:type="spellStart"/>
      <w:r w:rsidRPr="001615CE">
        <w:rPr>
          <w:rFonts w:ascii="Times New Roman" w:eastAsia="Times New Roman" w:hAnsi="Times New Roman"/>
          <w:sz w:val="24"/>
          <w:szCs w:val="24"/>
          <w:lang w:eastAsia="ru-RU"/>
        </w:rPr>
        <w:t>спдз.з</w:t>
      </w:r>
      <w:proofErr w:type="spellEnd"/>
      <w:r w:rsidRPr="001615CE">
        <w:rPr>
          <w:rFonts w:ascii="Times New Roman" w:eastAsia="Times New Roman" w:hAnsi="Times New Roman"/>
          <w:sz w:val="24"/>
          <w:szCs w:val="24"/>
          <w:lang w:eastAsia="ru-RU"/>
        </w:rPr>
        <w:t>, Джміль 1, ОС-1, ОСЗ-2);</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 пристрою базового УБ ППКП 019-50-2 з підключеними пожежними шлейфами (пожежний шлейф 1 -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16, 17; пожежний шлейф 2 -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4, 5, 6; пожежний шлейф 3 -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 3А, 8; пожежний шлейф 4 -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13, 15, 17; пожежний шлейф 5 -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208 - 215; пожежний шлейф 6 -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310 - 316; пожежний шлейф 7 -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317 - 320; пожежний шлейф 8 -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321 - 324; пожежний шлейф 9 -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301, 301А - 303);</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 блоку лінійного БЛ ППКП 019-50-2 з підключеними пожежними шлейфами в адміністративній будівлі та гаражах (пожежний шлейф 1 -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11, 13, 15; пожежний шлейф 2 -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 3А, 8; пожежний шлейф 3 -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4, 5, 6; пожежний шлейф 4 -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16, 17; пожежний шлейф 5 -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317 - 320; пожежний шлейф 6 -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321 - 324; пожежний шлейф 7 -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208 - 215; пожежний шлейф 8 -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301 - 303; пожежний шлейф 9 -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310 - 316 та хол; пожежний шлейф 13 -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202 - 206 та кімната зберігання зброї; пожежний шлейф 14 -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201, 201А, 201Б; пожежний шлейф 15 -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133, 134, прохід та вихід 5; пожежний шлейф 16 -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114, 116; пожежний шлейф 17 -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117, вихід 4;  пожежний шлейф 18 -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102, 104, 113, вихід 2; пожежний шлейф 19 -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106, 107, 109, 110; пожежний шлейф 20 - каб.105 - 108; пожежний шлейф 21 -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103 - 132; пожежний шлейф 22 -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121; пожежний шлейф 23 -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216 - 222 та хол; пожежний шлейф 24 -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223 - 227; пожежний шлейф 25 - ІІІ поверх коридора права сторона; пожежний шлейф 26 - ІІІ поверх коридора ліва сторона; пожежний шлейф 27 - ІІ поверх коридора права сторона; пожежний шлейф 28 - ІІ поверх коридора ліва сторона; пожежний шлейф 29 - гараж);</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 пожежного приймально-контрольного приладу </w:t>
      </w:r>
      <w:proofErr w:type="spellStart"/>
      <w:r w:rsidRPr="001615CE">
        <w:rPr>
          <w:rFonts w:ascii="Times New Roman" w:eastAsia="Times New Roman" w:hAnsi="Times New Roman"/>
          <w:sz w:val="24"/>
          <w:szCs w:val="24"/>
          <w:lang w:eastAsia="ru-RU"/>
        </w:rPr>
        <w:t>Тірас</w:t>
      </w:r>
      <w:proofErr w:type="spellEnd"/>
      <w:r w:rsidRPr="001615CE">
        <w:rPr>
          <w:rFonts w:ascii="Times New Roman" w:eastAsia="Times New Roman" w:hAnsi="Times New Roman"/>
          <w:sz w:val="24"/>
          <w:szCs w:val="24"/>
          <w:lang w:eastAsia="ru-RU"/>
        </w:rPr>
        <w:t xml:space="preserve"> з підключеними пожежними шлейфами (пожежний шлейф 1 - І поверх коридор; пожежний шлейф 2 - І поверх кабінети; пожежний шлейф 3 - ІІ поверх коридор; пожежний шлейф 4 - ІІ поверх кабінети; пожежний шлейф 5 - ІІІ поверх коридор; пожежний шлейф 6 - ІІІ поверх кабінети).</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lastRenderedPageBreak/>
        <w:t>2. Перевірку працездатності, визначення технічного стану, шляхом контролю виконання функцій окремими технічними засобами і системами протипожежного захисту загалом:</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автоматичної системи пожежної сигналізації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 222) з обладнанням (пожежний приймально-контрольний прилад </w:t>
      </w:r>
      <w:proofErr w:type="spellStart"/>
      <w:r w:rsidRPr="001615CE">
        <w:rPr>
          <w:rFonts w:ascii="Times New Roman" w:eastAsia="Times New Roman" w:hAnsi="Times New Roman"/>
          <w:sz w:val="24"/>
          <w:szCs w:val="24"/>
          <w:lang w:eastAsia="ru-RU"/>
        </w:rPr>
        <w:t>Тірас</w:t>
      </w:r>
      <w:proofErr w:type="spellEnd"/>
      <w:r w:rsidRPr="001615CE">
        <w:rPr>
          <w:rFonts w:ascii="Times New Roman" w:eastAsia="Times New Roman" w:hAnsi="Times New Roman"/>
          <w:sz w:val="24"/>
          <w:szCs w:val="24"/>
          <w:lang w:eastAsia="ru-RU"/>
        </w:rPr>
        <w:t xml:space="preserve"> 8П.1, СПДЗ, SPR-1, </w:t>
      </w:r>
      <w:proofErr w:type="spellStart"/>
      <w:r w:rsidRPr="001615CE">
        <w:rPr>
          <w:rFonts w:ascii="Times New Roman" w:eastAsia="Times New Roman" w:hAnsi="Times New Roman"/>
          <w:sz w:val="24"/>
          <w:szCs w:val="24"/>
          <w:lang w:eastAsia="ru-RU"/>
        </w:rPr>
        <w:t>спдз.з</w:t>
      </w:r>
      <w:proofErr w:type="spellEnd"/>
      <w:r w:rsidRPr="001615CE">
        <w:rPr>
          <w:rFonts w:ascii="Times New Roman" w:eastAsia="Times New Roman" w:hAnsi="Times New Roman"/>
          <w:sz w:val="24"/>
          <w:szCs w:val="24"/>
          <w:lang w:eastAsia="ru-RU"/>
        </w:rPr>
        <w:t>, Джміль 1, ОС-1, ОСЗ-2);</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 пристрою базового УБ ППКП 019-50-2 з підключеними пожежними шлейфами (пожежний шлейф 1 -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16, 17; пожежний шлейф 2 -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4, 5, 6; пожежний шлейф 3 -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 3А, 8; пожежний шлейф 4 -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13, 15, 17; пожежний шлейф 5 -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208 - 215; пожежний шлейф 6 -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310 - 316; пожежний шлейф 7 -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317 - 320; пожежний шлейф 8 -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321 - 324; пожежний шлейф 9 -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301, 301А - 303);</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 блоку лінійного БЛ ППКП 019-50-2 з підключеними пожежними шлейфами в адміністративній будівлі та гаражах (пожежний шлейф 1 -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11, 13, 15; пожежний шлейф 2 -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 3А, 8; пожежний шлейф 3 -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4, 5, 6; пожежний шлейф 4 - підвал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16, 17; пожежний шлейф 5 -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317 - 320; пожежний шлейф 6 -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321 - 324; пожежний шлейф 7 -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208 - 215; пожежний шлейф 8 -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301 - 303; пожежний шлейф 9 -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310 - 316 та хол; пожежний шлейф 13 -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202 - 206 та кімната зберігання зброї; пожежний шлейф 14 -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201, 201А, 201Б; пожежний шлейф 15 -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133, 134, прохід та вихід 5; пожежний шлейф 16 -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114, 116; пожежний шлейф 17 -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117, вихід 4;  пожежний шлейф 18 -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102, 104, 113, вихід 2; пожежний шлейф 19 -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106, 107, 109, 110; пожежний шлейф 20 - каб.105 - 108; пожежний шлейф 21 -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103 - 132; пожежний шлейф 22 -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121; пожежний шлейф 23 -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216 - 222 та хол; пожежний шлейф 24 -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223 - 227; пожежний шлейф 25 - ІІІ поверх коридора права сторона; пожежний шлейф 26 - ІІІ поверх коридора ліва сторона; пожежний шлейф 27 - ІІ поверх коридора права сторона; пожежний шлейф 28 - ІІ поверх коридора ліва сторона; пожежний шлейф 29 - гараж);</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 пожежного приймально-контрольного приладу </w:t>
      </w:r>
      <w:proofErr w:type="spellStart"/>
      <w:r w:rsidRPr="001615CE">
        <w:rPr>
          <w:rFonts w:ascii="Times New Roman" w:eastAsia="Times New Roman" w:hAnsi="Times New Roman"/>
          <w:sz w:val="24"/>
          <w:szCs w:val="24"/>
          <w:lang w:eastAsia="ru-RU"/>
        </w:rPr>
        <w:t>Тірас</w:t>
      </w:r>
      <w:proofErr w:type="spellEnd"/>
      <w:r w:rsidRPr="001615CE">
        <w:rPr>
          <w:rFonts w:ascii="Times New Roman" w:eastAsia="Times New Roman" w:hAnsi="Times New Roman"/>
          <w:sz w:val="24"/>
          <w:szCs w:val="24"/>
          <w:lang w:eastAsia="ru-RU"/>
        </w:rPr>
        <w:t xml:space="preserve"> з підключеними пожежними шлейфами (пожежний шлейф 1 - І поверх коридор; пожежний шлейф 2 - І поверх кабінети; пожежний шлейф 3 - ІІ поверх коридор; пожежний шлейф 4 - ІІ поверх кабінети; пожежний шлейф 5 - ІІІ поверх коридор; пожежний шлейф 6 - ІІІ поверх кабінети).</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3. Профілактичні послуги, послуги планово-попереджувального характеру щодо утримання систем протипожежного захисту у працездатному стані, очищення зовнішніх поверхонь технічних засобів, перевірку технічного стану їх внутрішнього монтування (внутрішніх поверхонь), очищення, протирання, змащування, підпайку, заміну або поновлення елементів технічних засобів, що вичерпали свій ресурс або прийшли у непрацездатний стан:</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автоматичної системи пожежної сигналізації (</w:t>
      </w:r>
      <w:proofErr w:type="spellStart"/>
      <w:r w:rsidRPr="001615CE">
        <w:rPr>
          <w:rFonts w:ascii="Times New Roman" w:eastAsia="Times New Roman" w:hAnsi="Times New Roman"/>
          <w:sz w:val="24"/>
          <w:szCs w:val="24"/>
          <w:lang w:eastAsia="ru-RU"/>
        </w:rPr>
        <w:t>каб</w:t>
      </w:r>
      <w:proofErr w:type="spellEnd"/>
      <w:r w:rsidRPr="001615CE">
        <w:rPr>
          <w:rFonts w:ascii="Times New Roman" w:eastAsia="Times New Roman" w:hAnsi="Times New Roman"/>
          <w:sz w:val="24"/>
          <w:szCs w:val="24"/>
          <w:lang w:eastAsia="ru-RU"/>
        </w:rPr>
        <w:t xml:space="preserve">. № 222) з обладнанням (пожежний приймально-контрольний прилад </w:t>
      </w:r>
      <w:proofErr w:type="spellStart"/>
      <w:r w:rsidRPr="001615CE">
        <w:rPr>
          <w:rFonts w:ascii="Times New Roman" w:eastAsia="Times New Roman" w:hAnsi="Times New Roman"/>
          <w:sz w:val="24"/>
          <w:szCs w:val="24"/>
          <w:lang w:eastAsia="ru-RU"/>
        </w:rPr>
        <w:t>Тірас</w:t>
      </w:r>
      <w:proofErr w:type="spellEnd"/>
      <w:r w:rsidRPr="001615CE">
        <w:rPr>
          <w:rFonts w:ascii="Times New Roman" w:eastAsia="Times New Roman" w:hAnsi="Times New Roman"/>
          <w:sz w:val="24"/>
          <w:szCs w:val="24"/>
          <w:lang w:eastAsia="ru-RU"/>
        </w:rPr>
        <w:t xml:space="preserve"> 8П.1, СПДЗ, SPR-1, </w:t>
      </w:r>
      <w:proofErr w:type="spellStart"/>
      <w:r w:rsidRPr="001615CE">
        <w:rPr>
          <w:rFonts w:ascii="Times New Roman" w:eastAsia="Times New Roman" w:hAnsi="Times New Roman"/>
          <w:sz w:val="24"/>
          <w:szCs w:val="24"/>
          <w:lang w:eastAsia="ru-RU"/>
        </w:rPr>
        <w:t>спдз.з</w:t>
      </w:r>
      <w:proofErr w:type="spellEnd"/>
      <w:r w:rsidRPr="001615CE">
        <w:rPr>
          <w:rFonts w:ascii="Times New Roman" w:eastAsia="Times New Roman" w:hAnsi="Times New Roman"/>
          <w:sz w:val="24"/>
          <w:szCs w:val="24"/>
          <w:lang w:eastAsia="ru-RU"/>
        </w:rPr>
        <w:t>, Джміль 1, ОС-1, ОСЗ-2), із заміною акумулятора;</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 пожежного приймально-контрольного приладу </w:t>
      </w:r>
      <w:proofErr w:type="spellStart"/>
      <w:r w:rsidRPr="001615CE">
        <w:rPr>
          <w:rFonts w:ascii="Times New Roman" w:eastAsia="Times New Roman" w:hAnsi="Times New Roman"/>
          <w:sz w:val="24"/>
          <w:szCs w:val="24"/>
          <w:lang w:eastAsia="ru-RU"/>
        </w:rPr>
        <w:t>Тірас</w:t>
      </w:r>
      <w:proofErr w:type="spellEnd"/>
      <w:r w:rsidRPr="001615CE">
        <w:rPr>
          <w:rFonts w:ascii="Times New Roman" w:eastAsia="Times New Roman" w:hAnsi="Times New Roman"/>
          <w:sz w:val="24"/>
          <w:szCs w:val="24"/>
          <w:lang w:eastAsia="ru-RU"/>
        </w:rPr>
        <w:t xml:space="preserve"> з підключеними пожежними шлейфами (пожежний шлейф 1 - І поверх коридор; пожежний шлейф 2 - І поверх кабінети; пожежний шлейф 3 - ІІ поверх коридор; пожежний шлейф 4 - ІІ поверх кабінети; пожежний шлейф 5 - ІІІ поверх коридор; пожежний шлейф 6 - ІІІ поверх кабінети), із заміною акумулятора.</w:t>
      </w:r>
    </w:p>
    <w:p w:rsidR="001615CE" w:rsidRDefault="001615CE" w:rsidP="001615CE">
      <w:pPr>
        <w:spacing w:before="120" w:after="120" w:line="240" w:lineRule="auto"/>
        <w:ind w:firstLine="567"/>
        <w:jc w:val="both"/>
        <w:rPr>
          <w:rFonts w:ascii="Times New Roman" w:eastAsia="Times New Roman" w:hAnsi="Times New Roman"/>
          <w:sz w:val="24"/>
          <w:szCs w:val="24"/>
          <w:lang w:val="en-US" w:eastAsia="ru-RU"/>
        </w:rPr>
      </w:pPr>
      <w:r w:rsidRPr="001615CE">
        <w:rPr>
          <w:rFonts w:ascii="Times New Roman" w:eastAsia="Times New Roman" w:hAnsi="Times New Roman"/>
          <w:sz w:val="24"/>
          <w:szCs w:val="24"/>
          <w:lang w:eastAsia="ru-RU"/>
        </w:rPr>
        <w:t>Перелік матеріалів необхідних для надання послуг</w:t>
      </w: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7"/>
        <w:gridCol w:w="1984"/>
        <w:gridCol w:w="1492"/>
      </w:tblGrid>
      <w:tr w:rsidR="001615CE" w:rsidRPr="001615CE" w:rsidTr="00C047CC">
        <w:trPr>
          <w:trHeight w:hRule="exact" w:val="671"/>
        </w:trPr>
        <w:tc>
          <w:tcPr>
            <w:tcW w:w="709" w:type="dxa"/>
            <w:tcBorders>
              <w:bottom w:val="single" w:sz="4" w:space="0" w:color="auto"/>
            </w:tcBorders>
            <w:shd w:val="clear" w:color="auto" w:fill="auto"/>
            <w:vAlign w:val="center"/>
          </w:tcPr>
          <w:p w:rsidR="001615CE" w:rsidRPr="001615CE" w:rsidRDefault="001615CE" w:rsidP="00C047CC">
            <w:pPr>
              <w:jc w:val="center"/>
              <w:rPr>
                <w:rFonts w:ascii="Times New Roman" w:hAnsi="Times New Roman"/>
                <w:bCs/>
                <w:sz w:val="24"/>
                <w:szCs w:val="24"/>
              </w:rPr>
            </w:pPr>
            <w:r w:rsidRPr="001615CE">
              <w:rPr>
                <w:rFonts w:ascii="Times New Roman" w:hAnsi="Times New Roman"/>
                <w:bCs/>
                <w:sz w:val="24"/>
                <w:szCs w:val="24"/>
              </w:rPr>
              <w:t>№</w:t>
            </w:r>
            <w:r w:rsidRPr="001615CE">
              <w:rPr>
                <w:rFonts w:ascii="Times New Roman" w:hAnsi="Times New Roman"/>
                <w:bCs/>
                <w:sz w:val="24"/>
                <w:szCs w:val="24"/>
                <w:lang w:val="en-US"/>
              </w:rPr>
              <w:t xml:space="preserve"> </w:t>
            </w:r>
            <w:r w:rsidRPr="001615CE">
              <w:rPr>
                <w:rFonts w:ascii="Times New Roman" w:hAnsi="Times New Roman"/>
                <w:bCs/>
                <w:sz w:val="24"/>
                <w:szCs w:val="24"/>
              </w:rPr>
              <w:t>з/п</w:t>
            </w:r>
          </w:p>
        </w:tc>
        <w:tc>
          <w:tcPr>
            <w:tcW w:w="5387" w:type="dxa"/>
            <w:tcBorders>
              <w:bottom w:val="single" w:sz="4" w:space="0" w:color="auto"/>
            </w:tcBorders>
            <w:shd w:val="clear" w:color="auto" w:fill="auto"/>
            <w:vAlign w:val="center"/>
          </w:tcPr>
          <w:p w:rsidR="001615CE" w:rsidRPr="001615CE" w:rsidRDefault="001615CE" w:rsidP="00C047CC">
            <w:pPr>
              <w:jc w:val="center"/>
              <w:rPr>
                <w:rFonts w:ascii="Times New Roman" w:hAnsi="Times New Roman"/>
                <w:bCs/>
                <w:sz w:val="24"/>
                <w:szCs w:val="24"/>
              </w:rPr>
            </w:pPr>
            <w:r w:rsidRPr="001615CE">
              <w:rPr>
                <w:rFonts w:ascii="Times New Roman" w:hAnsi="Times New Roman"/>
                <w:bCs/>
                <w:sz w:val="24"/>
                <w:szCs w:val="24"/>
              </w:rPr>
              <w:t xml:space="preserve">Найменування </w:t>
            </w:r>
          </w:p>
        </w:tc>
        <w:tc>
          <w:tcPr>
            <w:tcW w:w="1984" w:type="dxa"/>
            <w:tcBorders>
              <w:bottom w:val="single" w:sz="4" w:space="0" w:color="auto"/>
            </w:tcBorders>
            <w:vAlign w:val="center"/>
          </w:tcPr>
          <w:p w:rsidR="001615CE" w:rsidRPr="001615CE" w:rsidRDefault="001615CE" w:rsidP="00C047CC">
            <w:pPr>
              <w:jc w:val="center"/>
              <w:rPr>
                <w:rFonts w:ascii="Times New Roman" w:hAnsi="Times New Roman"/>
                <w:bCs/>
                <w:sz w:val="24"/>
                <w:szCs w:val="24"/>
              </w:rPr>
            </w:pPr>
            <w:r w:rsidRPr="001615CE">
              <w:rPr>
                <w:rFonts w:ascii="Times New Roman" w:hAnsi="Times New Roman"/>
                <w:bCs/>
                <w:sz w:val="24"/>
                <w:szCs w:val="24"/>
              </w:rPr>
              <w:t>Одиниця виміру</w:t>
            </w:r>
          </w:p>
        </w:tc>
        <w:tc>
          <w:tcPr>
            <w:tcW w:w="1492" w:type="dxa"/>
            <w:tcBorders>
              <w:bottom w:val="single" w:sz="4" w:space="0" w:color="auto"/>
            </w:tcBorders>
            <w:shd w:val="clear" w:color="auto" w:fill="auto"/>
            <w:noWrap/>
            <w:vAlign w:val="center"/>
          </w:tcPr>
          <w:p w:rsidR="001615CE" w:rsidRPr="001615CE" w:rsidRDefault="001615CE" w:rsidP="00C047CC">
            <w:pPr>
              <w:jc w:val="center"/>
              <w:rPr>
                <w:rFonts w:ascii="Times New Roman" w:hAnsi="Times New Roman"/>
                <w:bCs/>
                <w:sz w:val="24"/>
                <w:szCs w:val="24"/>
              </w:rPr>
            </w:pPr>
            <w:r w:rsidRPr="001615CE">
              <w:rPr>
                <w:rFonts w:ascii="Times New Roman" w:hAnsi="Times New Roman"/>
                <w:bCs/>
                <w:sz w:val="24"/>
                <w:szCs w:val="24"/>
              </w:rPr>
              <w:t xml:space="preserve">Кількість </w:t>
            </w:r>
          </w:p>
        </w:tc>
      </w:tr>
      <w:tr w:rsidR="001615CE" w:rsidRPr="001615CE" w:rsidTr="00C047CC">
        <w:trPr>
          <w:trHeight w:hRule="exact" w:val="329"/>
        </w:trPr>
        <w:tc>
          <w:tcPr>
            <w:tcW w:w="709" w:type="dxa"/>
            <w:shd w:val="clear" w:color="auto" w:fill="auto"/>
            <w:vAlign w:val="center"/>
          </w:tcPr>
          <w:p w:rsidR="001615CE" w:rsidRPr="001615CE" w:rsidRDefault="001615CE" w:rsidP="00C047CC">
            <w:pPr>
              <w:jc w:val="center"/>
              <w:rPr>
                <w:rFonts w:ascii="Times New Roman" w:hAnsi="Times New Roman"/>
                <w:bCs/>
                <w:sz w:val="24"/>
                <w:szCs w:val="24"/>
              </w:rPr>
            </w:pPr>
            <w:r w:rsidRPr="001615CE">
              <w:rPr>
                <w:rFonts w:ascii="Times New Roman" w:hAnsi="Times New Roman"/>
                <w:bCs/>
                <w:sz w:val="24"/>
                <w:szCs w:val="24"/>
              </w:rPr>
              <w:t>1</w:t>
            </w:r>
          </w:p>
        </w:tc>
        <w:tc>
          <w:tcPr>
            <w:tcW w:w="5387" w:type="dxa"/>
            <w:shd w:val="clear" w:color="auto" w:fill="auto"/>
            <w:vAlign w:val="center"/>
          </w:tcPr>
          <w:p w:rsidR="001615CE" w:rsidRPr="001615CE" w:rsidRDefault="001615CE" w:rsidP="00C047CC">
            <w:pPr>
              <w:pBdr>
                <w:top w:val="nil"/>
                <w:left w:val="nil"/>
                <w:bottom w:val="nil"/>
                <w:right w:val="nil"/>
                <w:between w:val="nil"/>
              </w:pBdr>
              <w:rPr>
                <w:rFonts w:ascii="Times New Roman" w:hAnsi="Times New Roman"/>
                <w:color w:val="000000"/>
                <w:sz w:val="24"/>
                <w:szCs w:val="24"/>
                <w:lang w:val="en-US"/>
              </w:rPr>
            </w:pPr>
            <w:r w:rsidRPr="001615CE">
              <w:rPr>
                <w:rFonts w:ascii="Times New Roman" w:eastAsia="Times New Roman" w:hAnsi="Times New Roman"/>
                <w:color w:val="000000"/>
                <w:sz w:val="24"/>
                <w:szCs w:val="24"/>
              </w:rPr>
              <w:t>Акумулятор 12V-7-7,2Ah</w:t>
            </w:r>
          </w:p>
        </w:tc>
        <w:tc>
          <w:tcPr>
            <w:tcW w:w="1984" w:type="dxa"/>
          </w:tcPr>
          <w:p w:rsidR="001615CE" w:rsidRPr="001615CE" w:rsidRDefault="001615CE" w:rsidP="00C047CC">
            <w:pPr>
              <w:jc w:val="center"/>
              <w:rPr>
                <w:rFonts w:ascii="Times New Roman" w:hAnsi="Times New Roman"/>
                <w:bCs/>
                <w:sz w:val="24"/>
                <w:szCs w:val="24"/>
              </w:rPr>
            </w:pPr>
            <w:r w:rsidRPr="001615CE">
              <w:rPr>
                <w:rFonts w:ascii="Times New Roman" w:hAnsi="Times New Roman"/>
                <w:sz w:val="24"/>
                <w:szCs w:val="24"/>
              </w:rPr>
              <w:t>шт.</w:t>
            </w:r>
          </w:p>
        </w:tc>
        <w:tc>
          <w:tcPr>
            <w:tcW w:w="1492" w:type="dxa"/>
            <w:shd w:val="clear" w:color="auto" w:fill="auto"/>
            <w:noWrap/>
            <w:vAlign w:val="center"/>
          </w:tcPr>
          <w:p w:rsidR="001615CE" w:rsidRPr="001615CE" w:rsidRDefault="001615CE" w:rsidP="00C047CC">
            <w:pPr>
              <w:jc w:val="center"/>
              <w:rPr>
                <w:rFonts w:ascii="Times New Roman" w:hAnsi="Times New Roman"/>
                <w:sz w:val="24"/>
                <w:szCs w:val="24"/>
              </w:rPr>
            </w:pPr>
            <w:r w:rsidRPr="001615CE">
              <w:rPr>
                <w:rFonts w:ascii="Times New Roman" w:hAnsi="Times New Roman"/>
                <w:sz w:val="24"/>
                <w:szCs w:val="24"/>
              </w:rPr>
              <w:t>2</w:t>
            </w:r>
          </w:p>
        </w:tc>
      </w:tr>
    </w:tbl>
    <w:p w:rsidR="001615CE" w:rsidRPr="001615CE" w:rsidRDefault="001615CE" w:rsidP="001615CE">
      <w:pPr>
        <w:spacing w:before="120" w:after="120" w:line="240" w:lineRule="auto"/>
        <w:ind w:firstLine="567"/>
        <w:jc w:val="both"/>
        <w:rPr>
          <w:rFonts w:ascii="Times New Roman" w:eastAsia="Times New Roman" w:hAnsi="Times New Roman"/>
          <w:sz w:val="24"/>
          <w:szCs w:val="24"/>
          <w:lang w:val="en-US" w:eastAsia="ru-RU"/>
        </w:rPr>
      </w:pP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lastRenderedPageBreak/>
        <w:t xml:space="preserve">Вартість матеріалів, що використовуються при наданні послуг, входить до вартості послуг. </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Учасник надає послуги власними та/або залученими силами та засобами відповідно до ДБН В.2.5-56:2014 «Системи протипожежного захисту», Правил пожежної безпеки в Україні, затверджених наказом Міністерства внутрішніх справ України від 30.12.2014 № 1417 (зареєстровано в Міністерстві юстиції України 05 березня 2015 року за № 252/26697), зі змінами, та Правил підтримання експлуатаційної придатності (обслуговування) систем протипожежного захисту будинків, будівель, споруд та їх частин, затверджених наказом Міністерства внутрішніх справ України від 28.02.2025 № 136 (зареєстровано в Міністерстві юстиції України 12 березня 2025 року за № 402/43808).</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 xml:space="preserve">Учасник надає послуги з дотриманням технологій, санітарних та протипожежних вимог, правил охорони праці, норм техніки безпеки та вимог щодо охорони навколишнього середовища. </w:t>
      </w:r>
    </w:p>
    <w:p w:rsidR="001615CE" w:rsidRPr="001615CE" w:rsidRDefault="001615CE" w:rsidP="001615CE">
      <w:pPr>
        <w:spacing w:before="120" w:after="120" w:line="240" w:lineRule="auto"/>
        <w:ind w:firstLine="567"/>
        <w:jc w:val="both"/>
        <w:rPr>
          <w:rFonts w:ascii="Times New Roman" w:eastAsia="Times New Roman" w:hAnsi="Times New Roman"/>
          <w:sz w:val="24"/>
          <w:szCs w:val="24"/>
          <w:lang w:eastAsia="ru-RU"/>
        </w:rPr>
      </w:pPr>
      <w:r w:rsidRPr="001615CE">
        <w:rPr>
          <w:rFonts w:ascii="Times New Roman" w:eastAsia="Times New Roman" w:hAnsi="Times New Roman"/>
          <w:sz w:val="24"/>
          <w:szCs w:val="24"/>
          <w:lang w:eastAsia="ru-RU"/>
        </w:rPr>
        <w:t>Учасник самостійно забезпечує збереження власних інструментів, обладнання, необхідного для надання послуг.</w:t>
      </w:r>
    </w:p>
    <w:p w:rsidR="001615CE" w:rsidRDefault="001615CE" w:rsidP="001615CE">
      <w:pPr>
        <w:spacing w:before="120" w:after="120" w:line="240" w:lineRule="auto"/>
        <w:ind w:firstLine="567"/>
        <w:jc w:val="both"/>
        <w:rPr>
          <w:rFonts w:ascii="Times New Roman" w:eastAsia="Times New Roman" w:hAnsi="Times New Roman"/>
          <w:sz w:val="24"/>
          <w:szCs w:val="24"/>
          <w:lang w:val="en-US" w:eastAsia="ru-RU"/>
        </w:rPr>
      </w:pPr>
      <w:r w:rsidRPr="001615CE">
        <w:rPr>
          <w:rFonts w:ascii="Times New Roman" w:eastAsia="Times New Roman" w:hAnsi="Times New Roman"/>
          <w:sz w:val="24"/>
          <w:szCs w:val="24"/>
          <w:lang w:eastAsia="ru-RU"/>
        </w:rPr>
        <w:t xml:space="preserve">Учасник інформує Замовника про хід виконання зобов’язань за Договором, про обставини, що перешкоджають його виконанню, а також про заходи, необхідні для їх усунення; за власний рахунок усуває недоліки наданих послуг, що виникли з його вини і які можуть бути виявлені під час приймання послуг; несе відповідальність за пошкодження комунікаційних та інженерних мереж, вживає негайних оперативних дій у разі виникнення аварійних ситуацій та інформує Замовника про аварії, нещасні випадки, випадки крадіжок, інші надзвичайні ситуації, що сталися під час надання послуг. </w:t>
      </w:r>
    </w:p>
    <w:p w:rsidR="005A5F16" w:rsidRPr="0036383E" w:rsidRDefault="005A5F16" w:rsidP="001615CE">
      <w:pPr>
        <w:spacing w:before="120" w:after="120" w:line="240" w:lineRule="auto"/>
        <w:jc w:val="both"/>
        <w:rPr>
          <w:rFonts w:ascii="Times New Roman" w:hAnsi="Times New Roman"/>
          <w:sz w:val="24"/>
          <w:szCs w:val="24"/>
        </w:rPr>
      </w:pPr>
      <w:r w:rsidRPr="00BB62B0">
        <w:rPr>
          <w:rFonts w:ascii="Times New Roman" w:hAnsi="Times New Roman"/>
          <w:i/>
          <w:color w:val="000000"/>
          <w:lang w:eastAsia="ru-RU"/>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p w:rsidR="00F33C28" w:rsidRPr="0036383E" w:rsidRDefault="00F33C28" w:rsidP="00F33C28">
      <w:pPr>
        <w:pStyle w:val="2"/>
        <w:spacing w:before="120" w:after="120"/>
        <w:ind w:firstLine="567"/>
        <w:jc w:val="both"/>
        <w:rPr>
          <w:b/>
          <w:szCs w:val="24"/>
          <w:lang w:val="uk-UA"/>
        </w:rPr>
      </w:pPr>
      <w:r w:rsidRPr="0036383E">
        <w:rPr>
          <w:b/>
          <w:szCs w:val="24"/>
          <w:lang w:val="uk-UA"/>
        </w:rPr>
        <w:t>3. Обґрунтування розміру бюджетного призначення, очікуваної вартості предмета закупівлі</w:t>
      </w:r>
    </w:p>
    <w:p w:rsidR="00F33C28" w:rsidRPr="0036383E" w:rsidRDefault="00F33C28" w:rsidP="00F33C28">
      <w:pPr>
        <w:spacing w:after="0" w:line="240" w:lineRule="auto"/>
        <w:ind w:left="142" w:firstLine="567"/>
        <w:jc w:val="both"/>
        <w:rPr>
          <w:rFonts w:ascii="Times New Roman" w:hAnsi="Times New Roman"/>
          <w:sz w:val="24"/>
          <w:szCs w:val="24"/>
        </w:rPr>
      </w:pPr>
      <w:r w:rsidRPr="0036383E">
        <w:rPr>
          <w:rFonts w:ascii="Times New Roman" w:hAnsi="Times New Roman"/>
          <w:sz w:val="24"/>
          <w:szCs w:val="24"/>
        </w:rPr>
        <w:t xml:space="preserve">Розмір бюджетного призначення відповідає розрахунку видатків до кошторису Чернігівської митниці на 2025 рік за КПКВК 3506010 «Керівництво та управління у сфері митної політики» (загальний фонд) за КЕКВ 2240 «Оплата послуг (крім комунальних)» та становить </w:t>
      </w:r>
      <w:r w:rsidR="001615CE">
        <w:rPr>
          <w:rFonts w:ascii="Times New Roman" w:hAnsi="Times New Roman"/>
          <w:sz w:val="24"/>
          <w:szCs w:val="24"/>
        </w:rPr>
        <w:t>19 </w:t>
      </w:r>
      <w:r w:rsidR="005A5F16" w:rsidRPr="005A5F16">
        <w:rPr>
          <w:rFonts w:ascii="Times New Roman" w:hAnsi="Times New Roman"/>
          <w:sz w:val="24"/>
          <w:szCs w:val="24"/>
        </w:rPr>
        <w:t>3</w:t>
      </w:r>
      <w:r w:rsidR="001615CE">
        <w:rPr>
          <w:rFonts w:ascii="Times New Roman" w:hAnsi="Times New Roman"/>
          <w:sz w:val="24"/>
          <w:szCs w:val="24"/>
        </w:rPr>
        <w:t>34,00</w:t>
      </w:r>
      <w:r w:rsidRPr="0036383E">
        <w:rPr>
          <w:rFonts w:ascii="Times New Roman" w:hAnsi="Times New Roman"/>
          <w:sz w:val="24"/>
          <w:szCs w:val="24"/>
        </w:rPr>
        <w:t xml:space="preserve"> гривень.</w:t>
      </w:r>
    </w:p>
    <w:p w:rsidR="00516BDE" w:rsidRDefault="00F33C28" w:rsidP="00B91BC1">
      <w:pPr>
        <w:spacing w:after="0" w:line="240" w:lineRule="auto"/>
        <w:ind w:left="142" w:firstLine="567"/>
        <w:jc w:val="both"/>
      </w:pPr>
      <w:r w:rsidRPr="0036383E">
        <w:rPr>
          <w:rFonts w:ascii="Times New Roman" w:hAnsi="Times New Roman"/>
          <w:sz w:val="24"/>
          <w:szCs w:val="24"/>
        </w:rPr>
        <w:t xml:space="preserve">Очікувана вартість предмета закупівлі – </w:t>
      </w:r>
      <w:r w:rsidR="001615CE">
        <w:rPr>
          <w:rFonts w:ascii="Times New Roman" w:hAnsi="Times New Roman"/>
          <w:sz w:val="24"/>
          <w:szCs w:val="24"/>
        </w:rPr>
        <w:t>19</w:t>
      </w:r>
      <w:r w:rsidRPr="0036383E">
        <w:rPr>
          <w:rFonts w:ascii="Times New Roman" w:hAnsi="Times New Roman"/>
          <w:sz w:val="24"/>
          <w:szCs w:val="24"/>
        </w:rPr>
        <w:t> </w:t>
      </w:r>
      <w:r w:rsidR="001615CE">
        <w:rPr>
          <w:rFonts w:ascii="Times New Roman" w:hAnsi="Times New Roman"/>
          <w:sz w:val="24"/>
          <w:szCs w:val="24"/>
        </w:rPr>
        <w:t>333</w:t>
      </w:r>
      <w:r w:rsidRPr="0036383E">
        <w:rPr>
          <w:rFonts w:ascii="Times New Roman" w:hAnsi="Times New Roman"/>
          <w:sz w:val="24"/>
          <w:szCs w:val="24"/>
        </w:rPr>
        <w:t>,</w:t>
      </w:r>
      <w:r w:rsidR="001615CE">
        <w:rPr>
          <w:rFonts w:ascii="Times New Roman" w:hAnsi="Times New Roman"/>
          <w:sz w:val="24"/>
          <w:szCs w:val="24"/>
        </w:rPr>
        <w:t>33</w:t>
      </w:r>
      <w:bookmarkStart w:id="0" w:name="_GoBack"/>
      <w:bookmarkEnd w:id="0"/>
      <w:r w:rsidRPr="0036383E">
        <w:rPr>
          <w:rFonts w:ascii="Times New Roman" w:hAnsi="Times New Roman"/>
          <w:sz w:val="24"/>
          <w:szCs w:val="24"/>
        </w:rPr>
        <w:t xml:space="preserve"> грн з ПДВ,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sectPr w:rsidR="00516BDE" w:rsidSect="005A5F1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28C" w:rsidRDefault="0075328C">
      <w:pPr>
        <w:spacing w:after="0" w:line="240" w:lineRule="auto"/>
      </w:pPr>
      <w:r>
        <w:separator/>
      </w:r>
    </w:p>
  </w:endnote>
  <w:endnote w:type="continuationSeparator" w:id="0">
    <w:p w:rsidR="0075328C" w:rsidRDefault="0075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28C" w:rsidRDefault="0075328C">
      <w:pPr>
        <w:spacing w:after="0" w:line="240" w:lineRule="auto"/>
      </w:pPr>
      <w:r>
        <w:separator/>
      </w:r>
    </w:p>
  </w:footnote>
  <w:footnote w:type="continuationSeparator" w:id="0">
    <w:p w:rsidR="0075328C" w:rsidRDefault="00753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CE" w:rsidRDefault="00F33C28" w:rsidP="00D562E3">
    <w:pPr>
      <w:pStyle w:val="a3"/>
      <w:jc w:val="center"/>
    </w:pPr>
    <w:r w:rsidRPr="00E926BD">
      <w:rPr>
        <w:rFonts w:ascii="Times New Roman" w:hAnsi="Times New Roman"/>
      </w:rPr>
      <w:fldChar w:fldCharType="begin"/>
    </w:r>
    <w:r w:rsidRPr="00E926BD">
      <w:rPr>
        <w:rFonts w:ascii="Times New Roman" w:hAnsi="Times New Roman"/>
      </w:rPr>
      <w:instrText xml:space="preserve"> PAGE   \* MERGEFORMAT </w:instrText>
    </w:r>
    <w:r w:rsidRPr="00E926BD">
      <w:rPr>
        <w:rFonts w:ascii="Times New Roman" w:hAnsi="Times New Roman"/>
      </w:rPr>
      <w:fldChar w:fldCharType="separate"/>
    </w:r>
    <w:r w:rsidR="001615CE">
      <w:rPr>
        <w:rFonts w:ascii="Times New Roman" w:hAnsi="Times New Roman"/>
        <w:noProof/>
      </w:rPr>
      <w:t>3</w:t>
    </w:r>
    <w:r w:rsidRPr="00E926BD">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C28"/>
    <w:rsid w:val="001615CE"/>
    <w:rsid w:val="001A5CC6"/>
    <w:rsid w:val="002139A7"/>
    <w:rsid w:val="002E4F87"/>
    <w:rsid w:val="00516BDE"/>
    <w:rsid w:val="005A5F16"/>
    <w:rsid w:val="006B47C9"/>
    <w:rsid w:val="0075328C"/>
    <w:rsid w:val="00901024"/>
    <w:rsid w:val="0092771F"/>
    <w:rsid w:val="00A00902"/>
    <w:rsid w:val="00AD41BB"/>
    <w:rsid w:val="00B91BC1"/>
    <w:rsid w:val="00C75ACE"/>
    <w:rsid w:val="00E50ECA"/>
    <w:rsid w:val="00EA7128"/>
    <w:rsid w:val="00F33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C28"/>
    <w:pPr>
      <w:tabs>
        <w:tab w:val="center" w:pos="4819"/>
        <w:tab w:val="right" w:pos="9639"/>
      </w:tabs>
      <w:spacing w:after="0" w:line="240" w:lineRule="auto"/>
    </w:pPr>
    <w:rPr>
      <w:sz w:val="20"/>
      <w:szCs w:val="20"/>
      <w:lang w:val="x-none" w:eastAsia="x-none"/>
    </w:rPr>
  </w:style>
  <w:style w:type="character" w:customStyle="1" w:styleId="a4">
    <w:name w:val="Верхний колонтитул Знак"/>
    <w:basedOn w:val="a0"/>
    <w:link w:val="a3"/>
    <w:uiPriority w:val="99"/>
    <w:rsid w:val="00F33C28"/>
    <w:rPr>
      <w:rFonts w:ascii="Calibri" w:eastAsia="Calibri" w:hAnsi="Calibri" w:cs="Times New Roman"/>
      <w:sz w:val="20"/>
      <w:szCs w:val="20"/>
      <w:lang w:val="x-none" w:eastAsia="x-none"/>
    </w:rPr>
  </w:style>
  <w:style w:type="paragraph" w:customStyle="1" w:styleId="2">
    <w:name w:val="Без интервала2"/>
    <w:aliases w:val="По центру"/>
    <w:uiPriority w:val="1"/>
    <w:qFormat/>
    <w:rsid w:val="00F33C28"/>
    <w:pPr>
      <w:spacing w:after="0" w:line="240" w:lineRule="auto"/>
      <w:jc w:val="center"/>
    </w:pPr>
    <w:rPr>
      <w:rFonts w:ascii="Times New Roman" w:eastAsia="Times New Roman" w:hAnsi="Times New Roman" w:cs="Times New Roman"/>
      <w:sz w:val="24"/>
      <w:szCs w:val="20"/>
      <w:lang w:val="ru-RU" w:eastAsia="ru-RU"/>
    </w:rPr>
  </w:style>
  <w:style w:type="paragraph" w:styleId="a5">
    <w:name w:val="Balloon Text"/>
    <w:basedOn w:val="a"/>
    <w:link w:val="a6"/>
    <w:uiPriority w:val="99"/>
    <w:semiHidden/>
    <w:unhideWhenUsed/>
    <w:rsid w:val="00E50E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0EC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C28"/>
    <w:pPr>
      <w:tabs>
        <w:tab w:val="center" w:pos="4819"/>
        <w:tab w:val="right" w:pos="9639"/>
      </w:tabs>
      <w:spacing w:after="0" w:line="240" w:lineRule="auto"/>
    </w:pPr>
    <w:rPr>
      <w:sz w:val="20"/>
      <w:szCs w:val="20"/>
      <w:lang w:val="x-none" w:eastAsia="x-none"/>
    </w:rPr>
  </w:style>
  <w:style w:type="character" w:customStyle="1" w:styleId="a4">
    <w:name w:val="Верхний колонтитул Знак"/>
    <w:basedOn w:val="a0"/>
    <w:link w:val="a3"/>
    <w:uiPriority w:val="99"/>
    <w:rsid w:val="00F33C28"/>
    <w:rPr>
      <w:rFonts w:ascii="Calibri" w:eastAsia="Calibri" w:hAnsi="Calibri" w:cs="Times New Roman"/>
      <w:sz w:val="20"/>
      <w:szCs w:val="20"/>
      <w:lang w:val="x-none" w:eastAsia="x-none"/>
    </w:rPr>
  </w:style>
  <w:style w:type="paragraph" w:customStyle="1" w:styleId="2">
    <w:name w:val="Без интервала2"/>
    <w:aliases w:val="По центру"/>
    <w:uiPriority w:val="1"/>
    <w:qFormat/>
    <w:rsid w:val="00F33C28"/>
    <w:pPr>
      <w:spacing w:after="0" w:line="240" w:lineRule="auto"/>
      <w:jc w:val="center"/>
    </w:pPr>
    <w:rPr>
      <w:rFonts w:ascii="Times New Roman" w:eastAsia="Times New Roman" w:hAnsi="Times New Roman" w:cs="Times New Roman"/>
      <w:sz w:val="24"/>
      <w:szCs w:val="20"/>
      <w:lang w:val="ru-RU" w:eastAsia="ru-RU"/>
    </w:rPr>
  </w:style>
  <w:style w:type="paragraph" w:styleId="a5">
    <w:name w:val="Balloon Text"/>
    <w:basedOn w:val="a"/>
    <w:link w:val="a6"/>
    <w:uiPriority w:val="99"/>
    <w:semiHidden/>
    <w:unhideWhenUsed/>
    <w:rsid w:val="00E50E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0E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Давидова Ольга Леонідівна</dc:creator>
  <cp:lastModifiedBy>User</cp:lastModifiedBy>
  <cp:revision>3</cp:revision>
  <cp:lastPrinted>2025-11-11T09:07:00Z</cp:lastPrinted>
  <dcterms:created xsi:type="dcterms:W3CDTF">2025-12-03T14:04:00Z</dcterms:created>
  <dcterms:modified xsi:type="dcterms:W3CDTF">2025-12-03T14:09:00Z</dcterms:modified>
</cp:coreProperties>
</file>