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FFB10" w14:textId="2482F847" w:rsidR="009A062F" w:rsidRPr="004037C5" w:rsidRDefault="00F602D3" w:rsidP="005A343B">
      <w:pPr>
        <w:ind w:firstLine="567"/>
        <w:contextualSpacing/>
        <w:jc w:val="both"/>
        <w:rPr>
          <w:rFonts w:eastAsia="Calibri"/>
        </w:rPr>
      </w:pPr>
      <w:r>
        <w:t>П</w:t>
      </w:r>
      <w:r w:rsidRPr="00F602D3">
        <w:t>ослуг</w:t>
      </w:r>
      <w:r>
        <w:t>и</w:t>
      </w:r>
      <w:r w:rsidRPr="00F602D3">
        <w:t xml:space="preserve"> з технічного обслуговування і заправки картриджів до друкувальної техніки за кодом ДК 021:2015 – 50310000-1 «Технічне обслуговування і ремонт офісної техніки»</w:t>
      </w:r>
      <w:r w:rsidR="00006754" w:rsidRPr="00744AD5">
        <w:tab/>
      </w:r>
    </w:p>
    <w:p w14:paraId="2BB7ECA9" w14:textId="77777777" w:rsidR="005A343B" w:rsidRPr="004037C5" w:rsidRDefault="009A062F" w:rsidP="006B0637">
      <w:pPr>
        <w:tabs>
          <w:tab w:val="left" w:pos="360"/>
          <w:tab w:val="left" w:pos="567"/>
        </w:tabs>
        <w:contextualSpacing/>
        <w:jc w:val="both"/>
        <w:rPr>
          <w:rFonts w:eastAsia="Calibri"/>
        </w:rPr>
      </w:pPr>
      <w:r w:rsidRPr="004037C5">
        <w:rPr>
          <w:rFonts w:eastAsia="Calibri"/>
        </w:rPr>
        <w:t xml:space="preserve">        </w:t>
      </w:r>
    </w:p>
    <w:p w14:paraId="31C5DCA3" w14:textId="4B7BB4E0" w:rsidR="00262722" w:rsidRPr="00784E86" w:rsidRDefault="006E0648" w:rsidP="005A343B">
      <w:pPr>
        <w:tabs>
          <w:tab w:val="left" w:pos="360"/>
          <w:tab w:val="left" w:pos="567"/>
        </w:tabs>
        <w:ind w:firstLine="567"/>
        <w:contextualSpacing/>
        <w:jc w:val="both"/>
        <w:rPr>
          <w:b/>
          <w:sz w:val="20"/>
          <w:szCs w:val="20"/>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6338CB" w:rsidRPr="006338CB">
        <w:t>UA-2025-12-05-009363-a</w:t>
      </w:r>
    </w:p>
    <w:p w14:paraId="4AB5DF98" w14:textId="485BF7CB" w:rsidR="00262722" w:rsidRDefault="00262722" w:rsidP="00262722">
      <w:pPr>
        <w:tabs>
          <w:tab w:val="left" w:pos="360"/>
          <w:tab w:val="left" w:pos="567"/>
        </w:tabs>
        <w:contextualSpacing/>
        <w:jc w:val="both"/>
        <w:rPr>
          <w:b/>
          <w:lang w:val="en-US"/>
        </w:rPr>
      </w:pPr>
    </w:p>
    <w:p w14:paraId="3426CC09" w14:textId="235DDBBB"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7BD122FE" w14:textId="77777777" w:rsidR="008B07B5" w:rsidRPr="004037C5" w:rsidRDefault="008B07B5" w:rsidP="00D3195F">
      <w:pPr>
        <w:jc w:val="center"/>
        <w:rPr>
          <w:b/>
        </w:rPr>
      </w:pPr>
    </w:p>
    <w:tbl>
      <w:tblPr>
        <w:tblStyle w:val="ae"/>
        <w:tblW w:w="9356" w:type="dxa"/>
        <w:tblInd w:w="-5" w:type="dxa"/>
        <w:tblLook w:val="04A0" w:firstRow="1" w:lastRow="0" w:firstColumn="1" w:lastColumn="0" w:noHBand="0" w:noVBand="1"/>
      </w:tblPr>
      <w:tblGrid>
        <w:gridCol w:w="2176"/>
        <w:gridCol w:w="4487"/>
        <w:gridCol w:w="1559"/>
        <w:gridCol w:w="1134"/>
      </w:tblGrid>
      <w:tr w:rsidR="00B07715" w:rsidRPr="002D657A" w14:paraId="31551246" w14:textId="77777777" w:rsidTr="00B07715">
        <w:trPr>
          <w:trHeight w:val="1195"/>
        </w:trPr>
        <w:tc>
          <w:tcPr>
            <w:tcW w:w="2176" w:type="dxa"/>
            <w:vAlign w:val="center"/>
            <w:hideMark/>
          </w:tcPr>
          <w:p w14:paraId="3A5A1018" w14:textId="77777777" w:rsidR="00B07715" w:rsidRPr="002D657A" w:rsidRDefault="00B07715" w:rsidP="00825C81">
            <w:pPr>
              <w:shd w:val="clear" w:color="auto" w:fill="FFFFFF"/>
              <w:ind w:right="-28"/>
              <w:jc w:val="center"/>
            </w:pPr>
            <w:r w:rsidRPr="002D657A">
              <w:t xml:space="preserve">№ </w:t>
            </w:r>
            <w:r>
              <w:t>з</w:t>
            </w:r>
            <w:r w:rsidRPr="002D657A">
              <w:t>/п</w:t>
            </w:r>
          </w:p>
        </w:tc>
        <w:tc>
          <w:tcPr>
            <w:tcW w:w="4487" w:type="dxa"/>
            <w:vAlign w:val="center"/>
            <w:hideMark/>
          </w:tcPr>
          <w:p w14:paraId="2C2847CE" w14:textId="77777777" w:rsidR="00B07715" w:rsidRPr="002D657A" w:rsidRDefault="00B07715" w:rsidP="00825C81">
            <w:pPr>
              <w:shd w:val="clear" w:color="auto" w:fill="FFFFFF"/>
              <w:ind w:right="-28"/>
              <w:jc w:val="center"/>
            </w:pPr>
            <w:r w:rsidRPr="002D657A">
              <w:t>Перелік обладнання</w:t>
            </w:r>
          </w:p>
        </w:tc>
        <w:tc>
          <w:tcPr>
            <w:tcW w:w="1559" w:type="dxa"/>
            <w:vAlign w:val="center"/>
            <w:hideMark/>
          </w:tcPr>
          <w:p w14:paraId="20577092" w14:textId="77777777" w:rsidR="00B07715" w:rsidRPr="002D657A" w:rsidRDefault="00B07715" w:rsidP="00825C81">
            <w:pPr>
              <w:shd w:val="clear" w:color="auto" w:fill="FFFFFF"/>
              <w:ind w:right="-28"/>
              <w:jc w:val="center"/>
            </w:pPr>
            <w:r w:rsidRPr="002D657A">
              <w:t>Вид послуг</w:t>
            </w:r>
          </w:p>
        </w:tc>
        <w:tc>
          <w:tcPr>
            <w:tcW w:w="1134" w:type="dxa"/>
            <w:vAlign w:val="center"/>
            <w:hideMark/>
          </w:tcPr>
          <w:p w14:paraId="5586567F" w14:textId="77777777" w:rsidR="00B07715" w:rsidRPr="002D657A" w:rsidRDefault="00B07715" w:rsidP="00825C81">
            <w:pPr>
              <w:shd w:val="clear" w:color="auto" w:fill="FFFFFF"/>
              <w:ind w:right="-28"/>
              <w:jc w:val="center"/>
            </w:pPr>
            <w:r w:rsidRPr="002D657A">
              <w:t>К-</w:t>
            </w:r>
            <w:r>
              <w:t>с</w:t>
            </w:r>
            <w:r w:rsidRPr="002D657A">
              <w:t>ть</w:t>
            </w:r>
          </w:p>
        </w:tc>
      </w:tr>
      <w:tr w:rsidR="00B07715" w:rsidRPr="003E6AC2" w14:paraId="3A308293" w14:textId="77777777" w:rsidTr="00B07715">
        <w:trPr>
          <w:trHeight w:val="295"/>
        </w:trPr>
        <w:tc>
          <w:tcPr>
            <w:tcW w:w="2176" w:type="dxa"/>
            <w:shd w:val="clear" w:color="auto" w:fill="FFFFFF" w:themeFill="background1"/>
            <w:vAlign w:val="center"/>
          </w:tcPr>
          <w:p w14:paraId="27AAE2D8" w14:textId="77777777" w:rsidR="00B07715" w:rsidRPr="00082F2D" w:rsidRDefault="00B07715" w:rsidP="00825C81">
            <w:pPr>
              <w:shd w:val="clear" w:color="auto" w:fill="FFFFFF"/>
              <w:ind w:right="-28"/>
              <w:jc w:val="center"/>
            </w:pPr>
            <w:r w:rsidRPr="00082F2D">
              <w:rPr>
                <w:color w:val="000000"/>
              </w:rPr>
              <w:t>1</w:t>
            </w:r>
          </w:p>
        </w:tc>
        <w:tc>
          <w:tcPr>
            <w:tcW w:w="4487" w:type="dxa"/>
            <w:shd w:val="clear" w:color="auto" w:fill="FFFFFF" w:themeFill="background1"/>
            <w:vAlign w:val="center"/>
          </w:tcPr>
          <w:p w14:paraId="61CD4305" w14:textId="77777777" w:rsidR="00B07715" w:rsidRPr="00E00DC9" w:rsidRDefault="00B07715" w:rsidP="00825C81">
            <w:r w:rsidRPr="00E00DC9">
              <w:rPr>
                <w:color w:val="000000"/>
              </w:rPr>
              <w:t xml:space="preserve">Заправка </w:t>
            </w:r>
            <w:proofErr w:type="spellStart"/>
            <w:r w:rsidRPr="00E00DC9">
              <w:rPr>
                <w:color w:val="000000"/>
              </w:rPr>
              <w:t>Samsung</w:t>
            </w:r>
            <w:proofErr w:type="spellEnd"/>
            <w:r w:rsidRPr="00E00DC9">
              <w:rPr>
                <w:color w:val="000000"/>
              </w:rPr>
              <w:t xml:space="preserve"> ML-1610D2 (SAMSUNG ML-1615)</w:t>
            </w:r>
          </w:p>
        </w:tc>
        <w:tc>
          <w:tcPr>
            <w:tcW w:w="1559" w:type="dxa"/>
            <w:shd w:val="clear" w:color="auto" w:fill="FFFFFF" w:themeFill="background1"/>
            <w:vAlign w:val="center"/>
          </w:tcPr>
          <w:p w14:paraId="1A910CC2" w14:textId="77777777" w:rsidR="00B07715" w:rsidRPr="003E6AC2" w:rsidRDefault="00B07715" w:rsidP="00825C81">
            <w:pPr>
              <w:jc w:val="center"/>
            </w:pPr>
            <w:r w:rsidRPr="003E6AC2">
              <w:t>заправка</w:t>
            </w:r>
          </w:p>
        </w:tc>
        <w:tc>
          <w:tcPr>
            <w:tcW w:w="1134" w:type="dxa"/>
            <w:shd w:val="clear" w:color="auto" w:fill="FFFFFF" w:themeFill="background1"/>
            <w:vAlign w:val="center"/>
          </w:tcPr>
          <w:p w14:paraId="49A31E35" w14:textId="77777777" w:rsidR="00B07715" w:rsidRPr="005E34EB" w:rsidRDefault="00B07715" w:rsidP="00825C81">
            <w:pPr>
              <w:jc w:val="center"/>
              <w:rPr>
                <w:lang w:val="en-US"/>
              </w:rPr>
            </w:pPr>
            <w:r w:rsidRPr="005E34EB">
              <w:rPr>
                <w:color w:val="000000"/>
              </w:rPr>
              <w:t>30</w:t>
            </w:r>
          </w:p>
        </w:tc>
      </w:tr>
      <w:tr w:rsidR="00B07715" w:rsidRPr="002D657A" w14:paraId="3689C6BA" w14:textId="77777777" w:rsidTr="00B07715">
        <w:trPr>
          <w:trHeight w:val="295"/>
        </w:trPr>
        <w:tc>
          <w:tcPr>
            <w:tcW w:w="2176" w:type="dxa"/>
            <w:shd w:val="clear" w:color="auto" w:fill="FFFFFF" w:themeFill="background1"/>
            <w:vAlign w:val="center"/>
          </w:tcPr>
          <w:p w14:paraId="720E1EFC" w14:textId="77777777" w:rsidR="00B07715" w:rsidRPr="00082F2D" w:rsidRDefault="00B07715" w:rsidP="00825C81">
            <w:pPr>
              <w:shd w:val="clear" w:color="auto" w:fill="FFFFFF"/>
              <w:ind w:right="-28"/>
              <w:jc w:val="center"/>
            </w:pPr>
            <w:r w:rsidRPr="00082F2D">
              <w:rPr>
                <w:color w:val="000000"/>
              </w:rPr>
              <w:t>2</w:t>
            </w:r>
          </w:p>
        </w:tc>
        <w:tc>
          <w:tcPr>
            <w:tcW w:w="4487" w:type="dxa"/>
            <w:vAlign w:val="center"/>
          </w:tcPr>
          <w:p w14:paraId="22C7A4BB" w14:textId="77777777" w:rsidR="00B07715" w:rsidRPr="00E00DC9" w:rsidRDefault="00B07715" w:rsidP="00825C81">
            <w:r w:rsidRPr="00E00DC9">
              <w:rPr>
                <w:color w:val="000000"/>
              </w:rPr>
              <w:t xml:space="preserve">Заправка </w:t>
            </w:r>
            <w:proofErr w:type="spellStart"/>
            <w:r w:rsidRPr="00E00DC9">
              <w:rPr>
                <w:color w:val="000000"/>
              </w:rPr>
              <w:t>Brother</w:t>
            </w:r>
            <w:proofErr w:type="spellEnd"/>
            <w:r w:rsidRPr="00E00DC9">
              <w:rPr>
                <w:color w:val="000000"/>
              </w:rPr>
              <w:t xml:space="preserve"> TN1075 (</w:t>
            </w:r>
            <w:proofErr w:type="spellStart"/>
            <w:r w:rsidRPr="00E00DC9">
              <w:rPr>
                <w:color w:val="000000"/>
              </w:rPr>
              <w:t>Brother</w:t>
            </w:r>
            <w:proofErr w:type="spellEnd"/>
            <w:r w:rsidRPr="00E00DC9">
              <w:rPr>
                <w:color w:val="000000"/>
              </w:rPr>
              <w:t xml:space="preserve"> HL-1112R)</w:t>
            </w:r>
          </w:p>
        </w:tc>
        <w:tc>
          <w:tcPr>
            <w:tcW w:w="1559" w:type="dxa"/>
            <w:vAlign w:val="center"/>
          </w:tcPr>
          <w:p w14:paraId="60076516" w14:textId="77777777" w:rsidR="00B07715" w:rsidRPr="00082F2D" w:rsidRDefault="00B07715" w:rsidP="00825C81">
            <w:pPr>
              <w:jc w:val="center"/>
            </w:pPr>
            <w:r w:rsidRPr="00082F2D">
              <w:rPr>
                <w:color w:val="000000"/>
              </w:rPr>
              <w:t>заправка</w:t>
            </w:r>
          </w:p>
        </w:tc>
        <w:tc>
          <w:tcPr>
            <w:tcW w:w="1134" w:type="dxa"/>
            <w:vAlign w:val="center"/>
          </w:tcPr>
          <w:p w14:paraId="16BDDDF4" w14:textId="77777777" w:rsidR="00B07715" w:rsidRPr="005E34EB" w:rsidRDefault="00B07715" w:rsidP="00825C81">
            <w:pPr>
              <w:jc w:val="center"/>
              <w:rPr>
                <w:lang w:val="en-US"/>
              </w:rPr>
            </w:pPr>
            <w:r w:rsidRPr="005E34EB">
              <w:rPr>
                <w:color w:val="000000"/>
              </w:rPr>
              <w:t>40</w:t>
            </w:r>
          </w:p>
        </w:tc>
      </w:tr>
      <w:tr w:rsidR="00B07715" w:rsidRPr="002D657A" w14:paraId="16D693D9" w14:textId="77777777" w:rsidTr="00B07715">
        <w:trPr>
          <w:trHeight w:val="691"/>
        </w:trPr>
        <w:tc>
          <w:tcPr>
            <w:tcW w:w="2176" w:type="dxa"/>
            <w:shd w:val="clear" w:color="auto" w:fill="FFFFFF" w:themeFill="background1"/>
            <w:vAlign w:val="center"/>
          </w:tcPr>
          <w:p w14:paraId="5E999906" w14:textId="77777777" w:rsidR="00B07715" w:rsidRPr="00082F2D" w:rsidRDefault="00B07715" w:rsidP="00825C81">
            <w:pPr>
              <w:shd w:val="clear" w:color="auto" w:fill="FFFFFF"/>
              <w:ind w:right="-28"/>
              <w:jc w:val="center"/>
            </w:pPr>
            <w:r w:rsidRPr="00082F2D">
              <w:rPr>
                <w:color w:val="000000"/>
              </w:rPr>
              <w:t>3</w:t>
            </w:r>
          </w:p>
        </w:tc>
        <w:tc>
          <w:tcPr>
            <w:tcW w:w="4487" w:type="dxa"/>
            <w:vAlign w:val="center"/>
          </w:tcPr>
          <w:p w14:paraId="459051A6" w14:textId="77777777" w:rsidR="00B07715" w:rsidRPr="00E00DC9" w:rsidRDefault="00B07715" w:rsidP="00825C81">
            <w:r w:rsidRPr="00E00DC9">
              <w:rPr>
                <w:color w:val="000000"/>
              </w:rPr>
              <w:t>Заправка 650N05436 /106R03623 /106R03625 (</w:t>
            </w:r>
            <w:proofErr w:type="spellStart"/>
            <w:r w:rsidRPr="00E00DC9">
              <w:rPr>
                <w:color w:val="000000"/>
              </w:rPr>
              <w:t>Xerox</w:t>
            </w:r>
            <w:proofErr w:type="spellEnd"/>
            <w:r w:rsidRPr="00E00DC9">
              <w:rPr>
                <w:color w:val="000000"/>
              </w:rPr>
              <w:t xml:space="preserve"> </w:t>
            </w:r>
            <w:proofErr w:type="spellStart"/>
            <w:r w:rsidRPr="00E00DC9">
              <w:rPr>
                <w:color w:val="000000"/>
              </w:rPr>
              <w:t>WorkCentre</w:t>
            </w:r>
            <w:proofErr w:type="spellEnd"/>
            <w:r w:rsidRPr="00E00DC9">
              <w:rPr>
                <w:color w:val="000000"/>
              </w:rPr>
              <w:t xml:space="preserve"> 3345)</w:t>
            </w:r>
          </w:p>
        </w:tc>
        <w:tc>
          <w:tcPr>
            <w:tcW w:w="1559" w:type="dxa"/>
            <w:vAlign w:val="center"/>
          </w:tcPr>
          <w:p w14:paraId="4C99184F" w14:textId="77777777" w:rsidR="00B07715" w:rsidRPr="00082F2D" w:rsidRDefault="00B07715" w:rsidP="00825C81">
            <w:pPr>
              <w:jc w:val="center"/>
            </w:pPr>
            <w:r w:rsidRPr="00082F2D">
              <w:rPr>
                <w:color w:val="000000"/>
              </w:rPr>
              <w:t>заправка</w:t>
            </w:r>
          </w:p>
          <w:p w14:paraId="284661B9" w14:textId="77777777" w:rsidR="00B07715" w:rsidRPr="00082F2D" w:rsidRDefault="00B07715" w:rsidP="00825C81">
            <w:pPr>
              <w:jc w:val="center"/>
            </w:pPr>
          </w:p>
        </w:tc>
        <w:tc>
          <w:tcPr>
            <w:tcW w:w="1134" w:type="dxa"/>
            <w:vAlign w:val="center"/>
          </w:tcPr>
          <w:p w14:paraId="2F1FB393" w14:textId="77777777" w:rsidR="00B07715" w:rsidRPr="005E34EB" w:rsidRDefault="00B07715" w:rsidP="00825C81">
            <w:pPr>
              <w:jc w:val="center"/>
              <w:rPr>
                <w:lang w:val="en-US"/>
              </w:rPr>
            </w:pPr>
            <w:r w:rsidRPr="005E34EB">
              <w:rPr>
                <w:color w:val="000000"/>
              </w:rPr>
              <w:t>40</w:t>
            </w:r>
          </w:p>
        </w:tc>
      </w:tr>
      <w:tr w:rsidR="00B07715" w:rsidRPr="002D657A" w14:paraId="4F43E3B4" w14:textId="77777777" w:rsidTr="00B07715">
        <w:trPr>
          <w:trHeight w:val="295"/>
        </w:trPr>
        <w:tc>
          <w:tcPr>
            <w:tcW w:w="2176" w:type="dxa"/>
            <w:shd w:val="clear" w:color="auto" w:fill="FFFFFF" w:themeFill="background1"/>
            <w:vAlign w:val="center"/>
          </w:tcPr>
          <w:p w14:paraId="40F29EDC" w14:textId="77777777" w:rsidR="00B07715" w:rsidRPr="00082F2D" w:rsidRDefault="00B07715" w:rsidP="00825C81">
            <w:pPr>
              <w:shd w:val="clear" w:color="auto" w:fill="FFFFFF"/>
              <w:ind w:right="-28"/>
              <w:jc w:val="center"/>
            </w:pPr>
            <w:r w:rsidRPr="00082F2D">
              <w:rPr>
                <w:color w:val="000000"/>
              </w:rPr>
              <w:t>4</w:t>
            </w:r>
          </w:p>
        </w:tc>
        <w:tc>
          <w:tcPr>
            <w:tcW w:w="4487" w:type="dxa"/>
            <w:vAlign w:val="center"/>
          </w:tcPr>
          <w:p w14:paraId="36C52C26" w14:textId="77777777" w:rsidR="00B07715" w:rsidRPr="00E00DC9" w:rsidRDefault="00B07715" w:rsidP="00825C81">
            <w:r w:rsidRPr="00E00DC9">
              <w:rPr>
                <w:color w:val="000000"/>
              </w:rPr>
              <w:t xml:space="preserve">Заправка </w:t>
            </w:r>
            <w:proofErr w:type="spellStart"/>
            <w:r w:rsidRPr="00E00DC9">
              <w:rPr>
                <w:color w:val="000000"/>
              </w:rPr>
              <w:t>Canon</w:t>
            </w:r>
            <w:proofErr w:type="spellEnd"/>
            <w:r w:rsidRPr="00E00DC9">
              <w:rPr>
                <w:color w:val="000000"/>
              </w:rPr>
              <w:t xml:space="preserve"> 052 (</w:t>
            </w:r>
            <w:proofErr w:type="spellStart"/>
            <w:r w:rsidRPr="00E00DC9">
              <w:rPr>
                <w:color w:val="000000"/>
              </w:rPr>
              <w:t>Canon</w:t>
            </w:r>
            <w:proofErr w:type="spellEnd"/>
            <w:r w:rsidRPr="00E00DC9">
              <w:rPr>
                <w:color w:val="000000"/>
              </w:rPr>
              <w:t xml:space="preserve"> MF428x)</w:t>
            </w:r>
          </w:p>
        </w:tc>
        <w:tc>
          <w:tcPr>
            <w:tcW w:w="1559" w:type="dxa"/>
            <w:vAlign w:val="center"/>
          </w:tcPr>
          <w:p w14:paraId="453B798F" w14:textId="77777777" w:rsidR="00B07715" w:rsidRPr="00082F2D" w:rsidRDefault="00B07715" w:rsidP="00825C81">
            <w:pPr>
              <w:jc w:val="center"/>
            </w:pPr>
            <w:r w:rsidRPr="00082F2D">
              <w:rPr>
                <w:color w:val="000000"/>
              </w:rPr>
              <w:t>заправка</w:t>
            </w:r>
          </w:p>
        </w:tc>
        <w:tc>
          <w:tcPr>
            <w:tcW w:w="1134" w:type="dxa"/>
            <w:vAlign w:val="center"/>
          </w:tcPr>
          <w:p w14:paraId="15B32EEE" w14:textId="77777777" w:rsidR="00B07715" w:rsidRPr="005E34EB" w:rsidRDefault="00B07715" w:rsidP="00825C81">
            <w:pPr>
              <w:jc w:val="center"/>
              <w:rPr>
                <w:lang w:val="en-US"/>
              </w:rPr>
            </w:pPr>
            <w:r w:rsidRPr="005E34EB">
              <w:rPr>
                <w:color w:val="000000"/>
              </w:rPr>
              <w:t>40</w:t>
            </w:r>
          </w:p>
        </w:tc>
      </w:tr>
      <w:tr w:rsidR="00B07715" w:rsidRPr="002D657A" w14:paraId="52BEFF45" w14:textId="77777777" w:rsidTr="00B07715">
        <w:trPr>
          <w:trHeight w:val="295"/>
        </w:trPr>
        <w:tc>
          <w:tcPr>
            <w:tcW w:w="2176" w:type="dxa"/>
            <w:shd w:val="clear" w:color="auto" w:fill="FFFFFF" w:themeFill="background1"/>
            <w:vAlign w:val="center"/>
          </w:tcPr>
          <w:p w14:paraId="7A834608" w14:textId="77777777" w:rsidR="00B07715" w:rsidRPr="00082F2D" w:rsidRDefault="00B07715" w:rsidP="00825C81">
            <w:pPr>
              <w:shd w:val="clear" w:color="auto" w:fill="FFFFFF"/>
              <w:ind w:right="-28"/>
              <w:jc w:val="center"/>
            </w:pPr>
            <w:r w:rsidRPr="00082F2D">
              <w:rPr>
                <w:color w:val="000000"/>
              </w:rPr>
              <w:t>5</w:t>
            </w:r>
          </w:p>
        </w:tc>
        <w:tc>
          <w:tcPr>
            <w:tcW w:w="4487" w:type="dxa"/>
            <w:vAlign w:val="center"/>
          </w:tcPr>
          <w:p w14:paraId="1922925A" w14:textId="77777777" w:rsidR="00B07715" w:rsidRPr="00E00DC9" w:rsidRDefault="00B07715" w:rsidP="00825C81">
            <w:r w:rsidRPr="00E00DC9">
              <w:rPr>
                <w:color w:val="000000"/>
              </w:rPr>
              <w:t xml:space="preserve">Заправка </w:t>
            </w:r>
            <w:proofErr w:type="spellStart"/>
            <w:r w:rsidRPr="00E00DC9">
              <w:rPr>
                <w:color w:val="000000"/>
              </w:rPr>
              <w:t>Canon</w:t>
            </w:r>
            <w:proofErr w:type="spellEnd"/>
            <w:r w:rsidRPr="00E00DC9">
              <w:rPr>
                <w:color w:val="000000"/>
              </w:rPr>
              <w:t xml:space="preserve"> 725 (</w:t>
            </w:r>
            <w:proofErr w:type="spellStart"/>
            <w:r w:rsidRPr="00E00DC9">
              <w:rPr>
                <w:color w:val="000000"/>
              </w:rPr>
              <w:t>Canon</w:t>
            </w:r>
            <w:proofErr w:type="spellEnd"/>
            <w:r w:rsidRPr="00E00DC9">
              <w:rPr>
                <w:color w:val="000000"/>
              </w:rPr>
              <w:t xml:space="preserve"> LBP-6020/6000)</w:t>
            </w:r>
          </w:p>
        </w:tc>
        <w:tc>
          <w:tcPr>
            <w:tcW w:w="1559" w:type="dxa"/>
            <w:vAlign w:val="center"/>
          </w:tcPr>
          <w:p w14:paraId="5E553A78" w14:textId="77777777" w:rsidR="00B07715" w:rsidRPr="00082F2D" w:rsidRDefault="00B07715" w:rsidP="00825C81">
            <w:pPr>
              <w:jc w:val="center"/>
            </w:pPr>
            <w:r w:rsidRPr="00082F2D">
              <w:rPr>
                <w:color w:val="000000"/>
              </w:rPr>
              <w:t>заправка</w:t>
            </w:r>
          </w:p>
        </w:tc>
        <w:tc>
          <w:tcPr>
            <w:tcW w:w="1134" w:type="dxa"/>
            <w:vAlign w:val="center"/>
          </w:tcPr>
          <w:p w14:paraId="06B0FB25" w14:textId="77777777" w:rsidR="00B07715" w:rsidRPr="005E34EB" w:rsidRDefault="00B07715" w:rsidP="00825C81">
            <w:pPr>
              <w:jc w:val="center"/>
              <w:rPr>
                <w:lang w:val="en-US"/>
              </w:rPr>
            </w:pPr>
            <w:r w:rsidRPr="005E34EB">
              <w:rPr>
                <w:color w:val="000000"/>
              </w:rPr>
              <w:t>180</w:t>
            </w:r>
          </w:p>
        </w:tc>
      </w:tr>
      <w:tr w:rsidR="00B07715" w:rsidRPr="002D657A" w14:paraId="54990E10" w14:textId="77777777" w:rsidTr="00B07715">
        <w:trPr>
          <w:trHeight w:val="295"/>
        </w:trPr>
        <w:tc>
          <w:tcPr>
            <w:tcW w:w="2176" w:type="dxa"/>
            <w:shd w:val="clear" w:color="auto" w:fill="FFFFFF" w:themeFill="background1"/>
            <w:vAlign w:val="center"/>
          </w:tcPr>
          <w:p w14:paraId="0453DE1A" w14:textId="77777777" w:rsidR="00B07715" w:rsidRPr="00082F2D" w:rsidRDefault="00B07715" w:rsidP="00825C81">
            <w:pPr>
              <w:shd w:val="clear" w:color="auto" w:fill="FFFFFF"/>
              <w:ind w:right="-28"/>
              <w:jc w:val="center"/>
            </w:pPr>
            <w:r w:rsidRPr="00082F2D">
              <w:rPr>
                <w:color w:val="000000"/>
              </w:rPr>
              <w:t>6</w:t>
            </w:r>
          </w:p>
        </w:tc>
        <w:tc>
          <w:tcPr>
            <w:tcW w:w="4487" w:type="dxa"/>
            <w:vAlign w:val="center"/>
          </w:tcPr>
          <w:p w14:paraId="207C2B5E" w14:textId="77777777" w:rsidR="00B07715" w:rsidRPr="00E00DC9" w:rsidRDefault="00B07715" w:rsidP="00825C81">
            <w:r w:rsidRPr="00E00DC9">
              <w:rPr>
                <w:color w:val="000000"/>
              </w:rPr>
              <w:t xml:space="preserve">Заправка </w:t>
            </w:r>
            <w:proofErr w:type="spellStart"/>
            <w:r w:rsidRPr="00E00DC9">
              <w:rPr>
                <w:color w:val="000000"/>
              </w:rPr>
              <w:t>Canon</w:t>
            </w:r>
            <w:proofErr w:type="spellEnd"/>
            <w:r w:rsidRPr="00E00DC9">
              <w:rPr>
                <w:color w:val="000000"/>
              </w:rPr>
              <w:t xml:space="preserve"> 728 (CANON i-SENSYS MF4410)</w:t>
            </w:r>
          </w:p>
        </w:tc>
        <w:tc>
          <w:tcPr>
            <w:tcW w:w="1559" w:type="dxa"/>
            <w:vAlign w:val="center"/>
          </w:tcPr>
          <w:p w14:paraId="56987729" w14:textId="77777777" w:rsidR="00B07715" w:rsidRPr="00082F2D" w:rsidRDefault="00B07715" w:rsidP="00825C81">
            <w:pPr>
              <w:jc w:val="center"/>
            </w:pPr>
            <w:r w:rsidRPr="00082F2D">
              <w:rPr>
                <w:color w:val="000000"/>
              </w:rPr>
              <w:t>заправка</w:t>
            </w:r>
          </w:p>
        </w:tc>
        <w:tc>
          <w:tcPr>
            <w:tcW w:w="1134" w:type="dxa"/>
            <w:vAlign w:val="center"/>
          </w:tcPr>
          <w:p w14:paraId="32203AB5" w14:textId="77777777" w:rsidR="00B07715" w:rsidRPr="005E34EB" w:rsidRDefault="00B07715" w:rsidP="00825C81">
            <w:pPr>
              <w:jc w:val="center"/>
              <w:rPr>
                <w:lang w:val="en-US"/>
              </w:rPr>
            </w:pPr>
            <w:r w:rsidRPr="005E34EB">
              <w:rPr>
                <w:color w:val="000000"/>
              </w:rPr>
              <w:t>180</w:t>
            </w:r>
          </w:p>
        </w:tc>
      </w:tr>
      <w:tr w:rsidR="00B07715" w:rsidRPr="002D657A" w14:paraId="38195F08" w14:textId="77777777" w:rsidTr="00B07715">
        <w:trPr>
          <w:trHeight w:val="295"/>
        </w:trPr>
        <w:tc>
          <w:tcPr>
            <w:tcW w:w="2176" w:type="dxa"/>
            <w:shd w:val="clear" w:color="auto" w:fill="FFFFFF" w:themeFill="background1"/>
            <w:vAlign w:val="center"/>
          </w:tcPr>
          <w:p w14:paraId="0EBD4EE9" w14:textId="77777777" w:rsidR="00B07715" w:rsidRPr="001C0D14" w:rsidRDefault="00B07715" w:rsidP="00825C81">
            <w:pPr>
              <w:shd w:val="clear" w:color="auto" w:fill="FFFFFF"/>
              <w:ind w:right="-28"/>
              <w:jc w:val="center"/>
              <w:rPr>
                <w:color w:val="000000"/>
                <w:lang w:val="en-US"/>
              </w:rPr>
            </w:pPr>
            <w:r>
              <w:rPr>
                <w:color w:val="000000"/>
                <w:lang w:val="en-US"/>
              </w:rPr>
              <w:t>7</w:t>
            </w:r>
          </w:p>
        </w:tc>
        <w:tc>
          <w:tcPr>
            <w:tcW w:w="4487" w:type="dxa"/>
            <w:vAlign w:val="center"/>
          </w:tcPr>
          <w:p w14:paraId="0F8904FB" w14:textId="77777777" w:rsidR="00B07715" w:rsidRPr="00E00DC9" w:rsidRDefault="00B07715" w:rsidP="00825C81">
            <w:pPr>
              <w:rPr>
                <w:color w:val="000000"/>
              </w:rPr>
            </w:pPr>
            <w:r w:rsidRPr="00E00DC9">
              <w:rPr>
                <w:color w:val="000000"/>
              </w:rPr>
              <w:t>Заправка CW-C737M (CANON i-SENSYS MF211)</w:t>
            </w:r>
          </w:p>
        </w:tc>
        <w:tc>
          <w:tcPr>
            <w:tcW w:w="1559" w:type="dxa"/>
          </w:tcPr>
          <w:p w14:paraId="1690DDD7" w14:textId="77777777" w:rsidR="00B07715" w:rsidRPr="00082F2D" w:rsidRDefault="00B07715" w:rsidP="00825C81">
            <w:pPr>
              <w:jc w:val="center"/>
              <w:rPr>
                <w:color w:val="000000"/>
              </w:rPr>
            </w:pPr>
            <w:r w:rsidRPr="006655AC">
              <w:rPr>
                <w:color w:val="000000"/>
              </w:rPr>
              <w:t>заправка</w:t>
            </w:r>
          </w:p>
        </w:tc>
        <w:tc>
          <w:tcPr>
            <w:tcW w:w="1134" w:type="dxa"/>
            <w:vAlign w:val="center"/>
          </w:tcPr>
          <w:p w14:paraId="4E9B2D9D" w14:textId="77777777" w:rsidR="00B07715" w:rsidRPr="005E34EB" w:rsidRDefault="00B07715" w:rsidP="00825C81">
            <w:pPr>
              <w:jc w:val="center"/>
              <w:rPr>
                <w:lang w:val="en-US"/>
              </w:rPr>
            </w:pPr>
            <w:r w:rsidRPr="005E34EB">
              <w:rPr>
                <w:color w:val="000000"/>
              </w:rPr>
              <w:t>40</w:t>
            </w:r>
          </w:p>
        </w:tc>
      </w:tr>
      <w:tr w:rsidR="00B07715" w:rsidRPr="002D657A" w14:paraId="4B1212EF" w14:textId="77777777" w:rsidTr="00B07715">
        <w:trPr>
          <w:trHeight w:val="295"/>
        </w:trPr>
        <w:tc>
          <w:tcPr>
            <w:tcW w:w="2176" w:type="dxa"/>
            <w:shd w:val="clear" w:color="auto" w:fill="FFFFFF" w:themeFill="background1"/>
            <w:vAlign w:val="center"/>
          </w:tcPr>
          <w:p w14:paraId="405F87A7" w14:textId="77777777" w:rsidR="00B07715" w:rsidRPr="001C0D14" w:rsidRDefault="00B07715" w:rsidP="00825C81">
            <w:pPr>
              <w:shd w:val="clear" w:color="auto" w:fill="FFFFFF"/>
              <w:ind w:right="-28"/>
              <w:jc w:val="center"/>
              <w:rPr>
                <w:color w:val="000000"/>
                <w:lang w:val="en-US"/>
              </w:rPr>
            </w:pPr>
            <w:r>
              <w:rPr>
                <w:color w:val="000000"/>
                <w:lang w:val="en-US"/>
              </w:rPr>
              <w:t>8</w:t>
            </w:r>
          </w:p>
        </w:tc>
        <w:tc>
          <w:tcPr>
            <w:tcW w:w="4487" w:type="dxa"/>
            <w:vAlign w:val="center"/>
          </w:tcPr>
          <w:p w14:paraId="2BE3F207" w14:textId="77777777" w:rsidR="00B07715" w:rsidRPr="00E00DC9" w:rsidRDefault="00B07715" w:rsidP="00825C81">
            <w:pPr>
              <w:rPr>
                <w:color w:val="000000"/>
              </w:rPr>
            </w:pPr>
            <w:r w:rsidRPr="00E00DC9">
              <w:rPr>
                <w:color w:val="000000"/>
              </w:rPr>
              <w:t>Заправка НР 151А (W1510A)</w:t>
            </w:r>
          </w:p>
        </w:tc>
        <w:tc>
          <w:tcPr>
            <w:tcW w:w="1559" w:type="dxa"/>
          </w:tcPr>
          <w:p w14:paraId="62C8C0A5" w14:textId="77777777" w:rsidR="00B07715" w:rsidRPr="00082F2D" w:rsidRDefault="00B07715" w:rsidP="00825C81">
            <w:pPr>
              <w:jc w:val="center"/>
              <w:rPr>
                <w:color w:val="000000"/>
              </w:rPr>
            </w:pPr>
            <w:r w:rsidRPr="006655AC">
              <w:rPr>
                <w:color w:val="000000"/>
              </w:rPr>
              <w:t>заправка</w:t>
            </w:r>
          </w:p>
        </w:tc>
        <w:tc>
          <w:tcPr>
            <w:tcW w:w="1134" w:type="dxa"/>
            <w:vAlign w:val="center"/>
          </w:tcPr>
          <w:p w14:paraId="4A936C6E" w14:textId="77777777" w:rsidR="00B07715" w:rsidRPr="005E34EB" w:rsidRDefault="00B07715" w:rsidP="00825C81">
            <w:pPr>
              <w:jc w:val="center"/>
              <w:rPr>
                <w:lang w:val="en-US"/>
              </w:rPr>
            </w:pPr>
            <w:r w:rsidRPr="005E34EB">
              <w:rPr>
                <w:color w:val="000000"/>
              </w:rPr>
              <w:t>40</w:t>
            </w:r>
          </w:p>
        </w:tc>
      </w:tr>
      <w:tr w:rsidR="00B07715" w:rsidRPr="002D657A" w14:paraId="3994F295" w14:textId="77777777" w:rsidTr="00B07715">
        <w:trPr>
          <w:trHeight w:val="295"/>
        </w:trPr>
        <w:tc>
          <w:tcPr>
            <w:tcW w:w="2176" w:type="dxa"/>
            <w:shd w:val="clear" w:color="auto" w:fill="FFFFFF" w:themeFill="background1"/>
            <w:vAlign w:val="center"/>
          </w:tcPr>
          <w:p w14:paraId="0F6D3138" w14:textId="77777777" w:rsidR="00B07715" w:rsidRPr="001C0D14" w:rsidRDefault="00B07715" w:rsidP="00825C81">
            <w:pPr>
              <w:shd w:val="clear" w:color="auto" w:fill="FFFFFF"/>
              <w:ind w:right="-28"/>
              <w:jc w:val="center"/>
              <w:rPr>
                <w:lang w:val="en-US"/>
              </w:rPr>
            </w:pPr>
            <w:r>
              <w:rPr>
                <w:lang w:val="en-US"/>
              </w:rPr>
              <w:t>9</w:t>
            </w:r>
          </w:p>
        </w:tc>
        <w:tc>
          <w:tcPr>
            <w:tcW w:w="4487" w:type="dxa"/>
            <w:vAlign w:val="center"/>
          </w:tcPr>
          <w:p w14:paraId="6B05F560" w14:textId="77777777" w:rsidR="00B07715" w:rsidRPr="00E00DC9" w:rsidRDefault="00B07715" w:rsidP="00825C81">
            <w:r w:rsidRPr="00E00DC9">
              <w:rPr>
                <w:color w:val="000000"/>
              </w:rPr>
              <w:t xml:space="preserve">Заправка HP CF259X (HP </w:t>
            </w:r>
            <w:proofErr w:type="spellStart"/>
            <w:r w:rsidRPr="00E00DC9">
              <w:rPr>
                <w:color w:val="000000"/>
              </w:rPr>
              <w:t>LaserJet</w:t>
            </w:r>
            <w:proofErr w:type="spellEnd"/>
            <w:r w:rsidRPr="00E00DC9">
              <w:rPr>
                <w:color w:val="000000"/>
              </w:rPr>
              <w:t xml:space="preserve"> </w:t>
            </w:r>
            <w:proofErr w:type="spellStart"/>
            <w:r w:rsidRPr="00E00DC9">
              <w:rPr>
                <w:color w:val="000000"/>
              </w:rPr>
              <w:t>Pro</w:t>
            </w:r>
            <w:proofErr w:type="spellEnd"/>
            <w:r w:rsidRPr="00E00DC9">
              <w:rPr>
                <w:color w:val="000000"/>
              </w:rPr>
              <w:t xml:space="preserve"> MFP M428dw)</w:t>
            </w:r>
          </w:p>
        </w:tc>
        <w:tc>
          <w:tcPr>
            <w:tcW w:w="1559" w:type="dxa"/>
            <w:vAlign w:val="center"/>
          </w:tcPr>
          <w:p w14:paraId="5EA36161" w14:textId="77777777" w:rsidR="00B07715" w:rsidRPr="00082F2D" w:rsidRDefault="00B07715" w:rsidP="00825C81">
            <w:pPr>
              <w:jc w:val="center"/>
            </w:pPr>
            <w:r w:rsidRPr="00082F2D">
              <w:rPr>
                <w:color w:val="000000"/>
              </w:rPr>
              <w:t>заправка</w:t>
            </w:r>
          </w:p>
        </w:tc>
        <w:tc>
          <w:tcPr>
            <w:tcW w:w="1134" w:type="dxa"/>
            <w:vAlign w:val="center"/>
          </w:tcPr>
          <w:p w14:paraId="3CDBA9AB" w14:textId="77777777" w:rsidR="00B07715" w:rsidRPr="005E34EB" w:rsidRDefault="00B07715" w:rsidP="00825C81">
            <w:pPr>
              <w:jc w:val="center"/>
              <w:rPr>
                <w:lang w:val="en-US"/>
              </w:rPr>
            </w:pPr>
            <w:r w:rsidRPr="005E34EB">
              <w:rPr>
                <w:color w:val="000000"/>
              </w:rPr>
              <w:t>40</w:t>
            </w:r>
          </w:p>
        </w:tc>
      </w:tr>
    </w:tbl>
    <w:p w14:paraId="7DA01889" w14:textId="77777777" w:rsidR="00744AD5" w:rsidRPr="00744AD5" w:rsidRDefault="00744AD5" w:rsidP="00744AD5">
      <w:pPr>
        <w:pStyle w:val="aff0"/>
        <w:spacing w:after="0"/>
        <w:ind w:left="475" w:right="326" w:firstLine="659"/>
        <w:rPr>
          <w:rFonts w:ascii="Times New Roman" w:hAnsi="Times New Roman" w:cs="Times New Roman"/>
        </w:rPr>
      </w:pPr>
    </w:p>
    <w:p w14:paraId="0CE81BD6"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Послуги </w:t>
      </w:r>
      <w:r>
        <w:rPr>
          <w:rFonts w:ascii="Times New Roman" w:hAnsi="Times New Roman" w:cs="Times New Roman"/>
        </w:rPr>
        <w:t>і</w:t>
      </w:r>
      <w:r w:rsidRPr="002D657A">
        <w:rPr>
          <w:rFonts w:ascii="Times New Roman" w:hAnsi="Times New Roman" w:cs="Times New Roman"/>
        </w:rPr>
        <w:t>з заправки картриджів включають в себе: технічне обстеження, чистку картриджа від зайвого тонеру спеціалізованим обладнанням, засипка в картридж нового тонеру чорного кольору (</w:t>
      </w:r>
      <w:proofErr w:type="spellStart"/>
      <w:r w:rsidRPr="002D657A">
        <w:rPr>
          <w:rFonts w:ascii="Times New Roman" w:hAnsi="Times New Roman" w:cs="Times New Roman"/>
        </w:rPr>
        <w:t>Вlack</w:t>
      </w:r>
      <w:proofErr w:type="spellEnd"/>
      <w:r w:rsidRPr="002D657A">
        <w:rPr>
          <w:rFonts w:ascii="Times New Roman" w:hAnsi="Times New Roman" w:cs="Times New Roman"/>
        </w:rPr>
        <w:t xml:space="preserve">) вагою заводської норми, перепрограмування </w:t>
      </w:r>
      <w:proofErr w:type="spellStart"/>
      <w:r w:rsidRPr="002D657A">
        <w:rPr>
          <w:rFonts w:ascii="Times New Roman" w:hAnsi="Times New Roman" w:cs="Times New Roman"/>
        </w:rPr>
        <w:t>ч</w:t>
      </w:r>
      <w:r>
        <w:rPr>
          <w:rFonts w:ascii="Times New Roman" w:hAnsi="Times New Roman" w:cs="Times New Roman"/>
        </w:rPr>
        <w:t>і</w:t>
      </w:r>
      <w:r w:rsidRPr="002D657A">
        <w:rPr>
          <w:rFonts w:ascii="Times New Roman" w:hAnsi="Times New Roman" w:cs="Times New Roman"/>
        </w:rPr>
        <w:t>па</w:t>
      </w:r>
      <w:proofErr w:type="spellEnd"/>
      <w:r w:rsidRPr="002D657A">
        <w:rPr>
          <w:rFonts w:ascii="Times New Roman" w:hAnsi="Times New Roman" w:cs="Times New Roman"/>
        </w:rPr>
        <w:t xml:space="preserve">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прошивк</w:t>
      </w:r>
      <w:r>
        <w:rPr>
          <w:rFonts w:ascii="Times New Roman" w:hAnsi="Times New Roman" w:cs="Times New Roman"/>
        </w:rPr>
        <w:t>а</w:t>
      </w:r>
      <w:r w:rsidRPr="002D657A">
        <w:rPr>
          <w:rFonts w:ascii="Times New Roman" w:hAnsi="Times New Roman" w:cs="Times New Roman"/>
        </w:rPr>
        <w:t xml:space="preserve"> або замін</w:t>
      </w:r>
      <w:r>
        <w:rPr>
          <w:rFonts w:ascii="Times New Roman" w:hAnsi="Times New Roman" w:cs="Times New Roman"/>
        </w:rPr>
        <w:t>а</w:t>
      </w:r>
      <w:r w:rsidRPr="002D657A">
        <w:rPr>
          <w:rFonts w:ascii="Times New Roman" w:hAnsi="Times New Roman" w:cs="Times New Roman"/>
        </w:rPr>
        <w:t xml:space="preserve"> </w:t>
      </w:r>
      <w:proofErr w:type="spellStart"/>
      <w:r w:rsidRPr="002D657A">
        <w:rPr>
          <w:rFonts w:ascii="Times New Roman" w:hAnsi="Times New Roman" w:cs="Times New Roman"/>
        </w:rPr>
        <w:t>ч</w:t>
      </w:r>
      <w:r>
        <w:rPr>
          <w:rFonts w:ascii="Times New Roman" w:hAnsi="Times New Roman" w:cs="Times New Roman"/>
        </w:rPr>
        <w:t>і</w:t>
      </w:r>
      <w:r w:rsidRPr="002D657A">
        <w:rPr>
          <w:rFonts w:ascii="Times New Roman" w:hAnsi="Times New Roman" w:cs="Times New Roman"/>
        </w:rPr>
        <w:t>п</w:t>
      </w:r>
      <w:r>
        <w:rPr>
          <w:rFonts w:ascii="Times New Roman" w:hAnsi="Times New Roman" w:cs="Times New Roman"/>
        </w:rPr>
        <w:t>а</w:t>
      </w:r>
      <w:proofErr w:type="spellEnd"/>
      <w:r w:rsidRPr="002D657A">
        <w:rPr>
          <w:rFonts w:ascii="Times New Roman" w:hAnsi="Times New Roman" w:cs="Times New Roman"/>
        </w:rPr>
        <w:t xml:space="preserve"> (у разі необхідності), </w:t>
      </w:r>
      <w:r>
        <w:rPr>
          <w:rFonts w:ascii="Times New Roman" w:hAnsi="Times New Roman" w:cs="Times New Roman"/>
        </w:rPr>
        <w:t xml:space="preserve">заміна барабана (за необхідності), </w:t>
      </w:r>
      <w:r w:rsidRPr="002D657A">
        <w:rPr>
          <w:rFonts w:ascii="Times New Roman" w:hAnsi="Times New Roman" w:cs="Times New Roman"/>
        </w:rPr>
        <w:t>тестування заправленого картриджа; зняття залишкового заряду</w:t>
      </w:r>
      <w:r>
        <w:rPr>
          <w:rFonts w:ascii="Times New Roman" w:hAnsi="Times New Roman" w:cs="Times New Roman"/>
        </w:rPr>
        <w:t>.</w:t>
      </w:r>
      <w:r w:rsidRPr="002D657A">
        <w:rPr>
          <w:rFonts w:ascii="Times New Roman" w:hAnsi="Times New Roman" w:cs="Times New Roman"/>
        </w:rPr>
        <w:t xml:space="preserve"> </w:t>
      </w:r>
    </w:p>
    <w:p w14:paraId="3F808CF3"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lastRenderedPageBreak/>
        <w:t>Послуги з заправки картриджів надаються з використанням оригінальних витратних матеріалів. На вимогу замовника виконавець протягом робочого дня зобов’язаний надати документи, що підтверджують заправку картриджів з використанням оригінальних витратних матеріалів</w:t>
      </w:r>
      <w:r>
        <w:rPr>
          <w:rFonts w:ascii="Times New Roman" w:hAnsi="Times New Roman" w:cs="Times New Roman"/>
        </w:rPr>
        <w:t>.</w:t>
      </w:r>
    </w:p>
    <w:p w14:paraId="41AC268F"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У вартість заправки картриджа мають входити наступ</w:t>
      </w:r>
      <w:r>
        <w:rPr>
          <w:rFonts w:ascii="Times New Roman" w:hAnsi="Times New Roman" w:cs="Times New Roman"/>
        </w:rPr>
        <w:t>ні витратні матеріали: тонер, чі</w:t>
      </w:r>
      <w:r w:rsidRPr="002D657A">
        <w:rPr>
          <w:rFonts w:ascii="Times New Roman" w:hAnsi="Times New Roman" w:cs="Times New Roman"/>
        </w:rPr>
        <w:t>п картриджа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а також такі послуги: технічне обстеження, чистка картриджа від зайвого тонеру спеціалізованим обладнанням, засипка в картридж нового якісного тонер</w:t>
      </w:r>
      <w:r>
        <w:rPr>
          <w:rFonts w:ascii="Times New Roman" w:hAnsi="Times New Roman" w:cs="Times New Roman"/>
        </w:rPr>
        <w:t>у</w:t>
      </w:r>
      <w:r w:rsidRPr="002D657A">
        <w:rPr>
          <w:rFonts w:ascii="Times New Roman" w:hAnsi="Times New Roman" w:cs="Times New Roman"/>
        </w:rPr>
        <w:t xml:space="preserve">, заміна чи перепрограмування </w:t>
      </w:r>
      <w:proofErr w:type="spellStart"/>
      <w:r w:rsidRPr="002D657A">
        <w:rPr>
          <w:rFonts w:ascii="Times New Roman" w:hAnsi="Times New Roman" w:cs="Times New Roman"/>
        </w:rPr>
        <w:t>ч</w:t>
      </w:r>
      <w:r>
        <w:rPr>
          <w:rFonts w:ascii="Times New Roman" w:hAnsi="Times New Roman" w:cs="Times New Roman"/>
        </w:rPr>
        <w:t>і</w:t>
      </w:r>
      <w:r w:rsidRPr="002D657A">
        <w:rPr>
          <w:rFonts w:ascii="Times New Roman" w:hAnsi="Times New Roman" w:cs="Times New Roman"/>
        </w:rPr>
        <w:t>па</w:t>
      </w:r>
      <w:proofErr w:type="spellEnd"/>
      <w:r w:rsidRPr="002D657A">
        <w:rPr>
          <w:rFonts w:ascii="Times New Roman" w:hAnsi="Times New Roman" w:cs="Times New Roman"/>
        </w:rPr>
        <w:t xml:space="preserve">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xml:space="preserve">), </w:t>
      </w:r>
      <w:r>
        <w:rPr>
          <w:rFonts w:ascii="Times New Roman" w:hAnsi="Times New Roman" w:cs="Times New Roman"/>
        </w:rPr>
        <w:t xml:space="preserve">заміна барабану (за необхідності), </w:t>
      </w:r>
      <w:r w:rsidRPr="002D657A">
        <w:rPr>
          <w:rFonts w:ascii="Times New Roman" w:hAnsi="Times New Roman" w:cs="Times New Roman"/>
        </w:rPr>
        <w:t>тестування заправленого картриджа та надання послуг за адресою замовника.</w:t>
      </w:r>
    </w:p>
    <w:p w14:paraId="04502574"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Заправка картриджа здійснюється з використанням ліцензійних витратних матеріалів. </w:t>
      </w:r>
    </w:p>
    <w:p w14:paraId="11B97D07"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Заправлений картридж має відпрацьовувати заявлений виробником картриджів ресурс. </w:t>
      </w:r>
    </w:p>
    <w:p w14:paraId="13FE3DA1"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b/>
          <w:bCs/>
        </w:rPr>
        <w:t xml:space="preserve">Після виконання </w:t>
      </w:r>
      <w:r w:rsidRPr="002D657A">
        <w:rPr>
          <w:rFonts w:ascii="Times New Roman" w:hAnsi="Times New Roman" w:cs="Times New Roman"/>
          <w:b/>
        </w:rPr>
        <w:t>заправки картриджа Виконавець проводить його тестування на обладнанні Замовника.</w:t>
      </w:r>
      <w:r w:rsidRPr="002D657A">
        <w:rPr>
          <w:rFonts w:ascii="Times New Roman" w:hAnsi="Times New Roman" w:cs="Times New Roman"/>
        </w:rPr>
        <w:t xml:space="preserve"> На корпус картриджа повинна бути наклеєна фірмова наклейка з відмітками про проведені роботи (виконавець, тип робіт, дата проведення). </w:t>
      </w:r>
    </w:p>
    <w:p w14:paraId="1B8EF2ED"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При наданні послуг відновлення картриджу, після проведення діагностики, фахівці Виконавця мають здійснювати наступні операції:</w:t>
      </w:r>
    </w:p>
    <w:p w14:paraId="560A32BB" w14:textId="77777777" w:rsidR="00F602D3" w:rsidRPr="002D657A" w:rsidRDefault="00F602D3" w:rsidP="00F602D3">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повністю розбирати та очищувати під тиском всі вузли картриджа;</w:t>
      </w:r>
    </w:p>
    <w:p w14:paraId="60491875" w14:textId="77777777" w:rsidR="00F602D3" w:rsidRPr="002D657A" w:rsidRDefault="00F602D3" w:rsidP="00F602D3">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проводити заміну фотобарабану, леза очищення, валу первинного заряду, оболонки магнітного валу та леза дозування;</w:t>
      </w:r>
    </w:p>
    <w:p w14:paraId="6F3C2940" w14:textId="77777777" w:rsidR="00F602D3" w:rsidRPr="002D657A" w:rsidRDefault="00F602D3" w:rsidP="00F602D3">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полірувати фотобарабан;</w:t>
      </w:r>
    </w:p>
    <w:p w14:paraId="720779E7" w14:textId="77777777" w:rsidR="00F602D3" w:rsidRPr="002D657A" w:rsidRDefault="00F602D3" w:rsidP="00F602D3">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наносити мастило для зменшення коефіцієнта тертя на лезо очищення;</w:t>
      </w:r>
    </w:p>
    <w:p w14:paraId="23DC8449" w14:textId="77777777" w:rsidR="00F602D3" w:rsidRPr="002D657A" w:rsidRDefault="00F602D3" w:rsidP="00F602D3">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очищувати і змащувати струмопровідними мастилами електричні контакти.</w:t>
      </w:r>
    </w:p>
    <w:p w14:paraId="5DCBB79D"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Картриджі маркуються стікерами із зазначенням дати надання послуги.</w:t>
      </w:r>
    </w:p>
    <w:p w14:paraId="6B4FECBB" w14:textId="77777777" w:rsidR="00F602D3" w:rsidRPr="002D657A" w:rsidRDefault="00F602D3" w:rsidP="00F602D3">
      <w:pPr>
        <w:pStyle w:val="af"/>
        <w:numPr>
          <w:ilvl w:val="0"/>
          <w:numId w:val="13"/>
        </w:numPr>
        <w:shd w:val="clear" w:color="auto" w:fill="FFFFFF"/>
        <w:tabs>
          <w:tab w:val="left" w:pos="993"/>
        </w:tabs>
        <w:ind w:left="0" w:right="-28" w:firstLine="567"/>
        <w:contextualSpacing/>
        <w:jc w:val="both"/>
        <w:rPr>
          <w:rFonts w:ascii="Times New Roman" w:hAnsi="Times New Roman" w:cs="Times New Roman"/>
          <w:b/>
        </w:rPr>
      </w:pPr>
      <w:r w:rsidRPr="002D657A">
        <w:rPr>
          <w:rFonts w:ascii="Times New Roman" w:hAnsi="Times New Roman" w:cs="Times New Roman"/>
          <w:b/>
        </w:rPr>
        <w:t xml:space="preserve">Під час приймання-передачі картриджів уповноваженими представниками Сторін, в присутності один одного, перевіряється кількість та відповідність асортименту картриджів, які приймаються Виконавцем для надання Послуг та повертаються Виконавцем після їх надання, про що складається Акт приймання-передачі. </w:t>
      </w:r>
    </w:p>
    <w:p w14:paraId="7439B4F2" w14:textId="77777777" w:rsidR="00F602D3" w:rsidRPr="002D657A" w:rsidRDefault="00F602D3" w:rsidP="00F602D3">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При виникненні технічних несправностей, несправності повинні бути усунені за рахунок Виконавця у 3-денний термін з моменту повідомлення.</w:t>
      </w:r>
    </w:p>
    <w:p w14:paraId="64DFA139" w14:textId="77777777" w:rsidR="00F602D3" w:rsidRPr="002D657A" w:rsidRDefault="00F602D3" w:rsidP="00F602D3">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У разі виникнення спірних ситуацій Замовник має право вимагати від Виконавця проведення комісійної перевірки</w:t>
      </w:r>
      <w:r>
        <w:rPr>
          <w:rFonts w:ascii="Times New Roman" w:hAnsi="Times New Roman" w:cs="Times New Roman"/>
        </w:rPr>
        <w:t>,</w:t>
      </w:r>
      <w:r w:rsidRPr="002D657A">
        <w:rPr>
          <w:rFonts w:ascii="Times New Roman" w:hAnsi="Times New Roman" w:cs="Times New Roman"/>
        </w:rPr>
        <w:t xml:space="preserve"> із залученням незалежних фахівців</w:t>
      </w:r>
      <w:r>
        <w:rPr>
          <w:rFonts w:ascii="Times New Roman" w:hAnsi="Times New Roman" w:cs="Times New Roman"/>
        </w:rPr>
        <w:t>,</w:t>
      </w:r>
      <w:r w:rsidRPr="002D657A">
        <w:rPr>
          <w:rFonts w:ascii="Times New Roman" w:hAnsi="Times New Roman" w:cs="Times New Roman"/>
        </w:rPr>
        <w:t xml:space="preserve"> якості, кількості і асортименту витратних матеріалів.</w:t>
      </w:r>
    </w:p>
    <w:p w14:paraId="7238E48A" w14:textId="77777777" w:rsidR="00F602D3" w:rsidRPr="002D657A" w:rsidRDefault="00F602D3" w:rsidP="00F602D3">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Послуги необхідно надавати у відповідності до вимог технічної документації виробників офісної техніки із застосуванням оригінальних сертифікованих витратних матеріалів.</w:t>
      </w:r>
    </w:p>
    <w:p w14:paraId="0BA4845D" w14:textId="77777777" w:rsidR="00F602D3" w:rsidRPr="002D657A" w:rsidRDefault="00F602D3" w:rsidP="00F602D3">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Транспортування картриджів від Замовника до надання послуг і від місця надання послуг до Замовника здійснює Виконавець за власний рахунок</w:t>
      </w:r>
      <w:r>
        <w:rPr>
          <w:rFonts w:ascii="Times New Roman" w:hAnsi="Times New Roman" w:cs="Times New Roman"/>
        </w:rPr>
        <w:t>.</w:t>
      </w:r>
    </w:p>
    <w:p w14:paraId="4DFDF6CD" w14:textId="41768B93" w:rsidR="00744AD5" w:rsidRPr="00744AD5" w:rsidRDefault="00F602D3" w:rsidP="00F602D3">
      <w:pPr>
        <w:pStyle w:val="aff0"/>
        <w:tabs>
          <w:tab w:val="left" w:pos="4932"/>
          <w:tab w:val="left" w:pos="6649"/>
        </w:tabs>
        <w:spacing w:after="0"/>
        <w:ind w:right="-1" w:firstLine="426"/>
        <w:jc w:val="both"/>
        <w:rPr>
          <w:rFonts w:ascii="Times New Roman" w:hAnsi="Times New Roman" w:cs="Times New Roman"/>
          <w:color w:val="0C0C0C"/>
        </w:rPr>
      </w:pPr>
      <w:r w:rsidRPr="002D657A">
        <w:rPr>
          <w:rFonts w:ascii="Times New Roman" w:hAnsi="Times New Roman" w:cs="Times New Roman"/>
        </w:rPr>
        <w:t>Строк надання послуг: протягом строку дії договору на підставі наданої письмової рознарядки Замовника.</w:t>
      </w:r>
    </w:p>
    <w:p w14:paraId="2501E961" w14:textId="77777777" w:rsidR="00744AD5" w:rsidRDefault="006438F8" w:rsidP="00FA7F72">
      <w:pPr>
        <w:tabs>
          <w:tab w:val="left" w:pos="180"/>
        </w:tabs>
        <w:jc w:val="both"/>
        <w:rPr>
          <w:b/>
        </w:rPr>
      </w:pPr>
      <w:r w:rsidRPr="004037C5">
        <w:rPr>
          <w:b/>
        </w:rPr>
        <w:t xml:space="preserve">      </w:t>
      </w:r>
    </w:p>
    <w:p w14:paraId="599F2B14" w14:textId="76D002A2" w:rsidR="0044255F" w:rsidRPr="004037C5" w:rsidRDefault="00A0247F" w:rsidP="00744AD5">
      <w:pPr>
        <w:tabs>
          <w:tab w:val="left" w:pos="180"/>
        </w:tabs>
        <w:ind w:firstLine="567"/>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E63A21" w:rsidRPr="004037C5">
        <w:t>5</w:t>
      </w:r>
      <w:r w:rsidR="0044255F" w:rsidRPr="004037C5">
        <w:t xml:space="preserve"> рік </w:t>
      </w:r>
      <w:r w:rsidR="00EF4CD6" w:rsidRPr="004037C5">
        <w:t xml:space="preserve">(зі змінами) 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26F2274A" w:rsidR="0044255F" w:rsidRDefault="0044255F" w:rsidP="007919B9">
      <w:pPr>
        <w:ind w:firstLine="567"/>
        <w:contextualSpacing/>
        <w:jc w:val="both"/>
      </w:pPr>
    </w:p>
    <w:p w14:paraId="3EE03F91" w14:textId="17D210A2" w:rsidR="007F146A" w:rsidRPr="00724A30" w:rsidRDefault="00A0247F" w:rsidP="00744AD5">
      <w:pPr>
        <w:ind w:firstLine="567"/>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0" w:name="_Hlk168558675"/>
      <w:r w:rsidR="006338CB">
        <w:rPr>
          <w:bCs/>
        </w:rPr>
        <w:t>127 038</w:t>
      </w:r>
      <w:r w:rsidR="00B474FD" w:rsidRPr="00724A30">
        <w:rPr>
          <w:bCs/>
        </w:rPr>
        <w:t>,</w:t>
      </w:r>
      <w:r w:rsidR="00201D1C" w:rsidRPr="00724A30">
        <w:rPr>
          <w:bCs/>
        </w:rPr>
        <w:t>00</w:t>
      </w:r>
      <w:r w:rsidR="00B474FD" w:rsidRPr="00724A30">
        <w:rPr>
          <w:bCs/>
        </w:rPr>
        <w:t xml:space="preserve"> </w:t>
      </w:r>
      <w:bookmarkEnd w:id="0"/>
      <w:r w:rsidR="00EF4CD6" w:rsidRPr="00724A30">
        <w:rPr>
          <w:bCs/>
        </w:rPr>
        <w:t>грн. з ПДВ</w:t>
      </w:r>
      <w:r w:rsidR="007B3889" w:rsidRPr="00724A30">
        <w:rPr>
          <w:bCs/>
        </w:rPr>
        <w:t>.</w:t>
      </w:r>
    </w:p>
    <w:p w14:paraId="2213DA7B" w14:textId="5B9B9F9A" w:rsidR="00234B6F" w:rsidRDefault="00234B6F" w:rsidP="00AB441C">
      <w:pPr>
        <w:ind w:firstLine="426"/>
        <w:contextualSpacing/>
        <w:jc w:val="both"/>
      </w:pPr>
    </w:p>
    <w:p w14:paraId="7C46B487" w14:textId="3F889A3A" w:rsidR="00B07715" w:rsidRDefault="00B07715" w:rsidP="00AB441C">
      <w:pPr>
        <w:ind w:firstLine="426"/>
        <w:contextualSpacing/>
        <w:jc w:val="both"/>
      </w:pPr>
    </w:p>
    <w:p w14:paraId="76916E38" w14:textId="77777777" w:rsidR="00B07715" w:rsidRPr="004037C5" w:rsidRDefault="00B07715" w:rsidP="00AB441C">
      <w:pPr>
        <w:ind w:firstLine="426"/>
        <w:contextualSpacing/>
        <w:jc w:val="both"/>
      </w:pPr>
    </w:p>
    <w:p w14:paraId="08593C51" w14:textId="3061036B" w:rsidR="00964E6F" w:rsidRPr="004037C5" w:rsidRDefault="00A0247F" w:rsidP="00744AD5">
      <w:pPr>
        <w:ind w:firstLine="567"/>
        <w:contextualSpacing/>
        <w:jc w:val="both"/>
      </w:pPr>
      <w:r w:rsidRPr="004037C5">
        <w:rPr>
          <w:b/>
        </w:rPr>
        <w:lastRenderedPageBreak/>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234B6F">
      <w:pPr>
        <w:ind w:firstLine="426"/>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15408923" w:rsidR="00006754" w:rsidRPr="004037C5" w:rsidRDefault="00006754" w:rsidP="00234B6F">
      <w:pPr>
        <w:ind w:firstLine="426"/>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037C5">
        <w:rPr>
          <w:lang w:val="en-US"/>
        </w:rPr>
        <w:t>Pr</w:t>
      </w:r>
      <w:proofErr w:type="spellEnd"/>
      <w:r w:rsidRPr="004037C5">
        <w:t>о</w:t>
      </w:r>
      <w:r w:rsidR="00F70454" w:rsidRPr="004037C5">
        <w:rPr>
          <w:lang w:val="en-US"/>
        </w:rPr>
        <w:t>z</w:t>
      </w:r>
      <w:r w:rsidRPr="004037C5">
        <w:t>о</w:t>
      </w:r>
      <w:proofErr w:type="spellStart"/>
      <w:r w:rsidR="00F70454" w:rsidRPr="004037C5">
        <w:rPr>
          <w:lang w:val="en-US"/>
        </w:rPr>
        <w:t>rr</w:t>
      </w:r>
      <w:proofErr w:type="spellEnd"/>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6338CB">
        <w:rPr>
          <w:b/>
          <w:bCs/>
        </w:rPr>
        <w:t>127 038</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rsidP="00744AD5">
      <w:pPr>
        <w:ind w:firstLine="567"/>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38DF" w14:textId="77777777" w:rsidR="00A1350E" w:rsidRDefault="00A1350E">
      <w:r>
        <w:separator/>
      </w:r>
    </w:p>
  </w:endnote>
  <w:endnote w:type="continuationSeparator" w:id="0">
    <w:p w14:paraId="5281887C" w14:textId="77777777" w:rsidR="00A1350E" w:rsidRDefault="00A1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2CE4" w14:textId="77777777" w:rsidR="00A1350E" w:rsidRDefault="00A1350E">
      <w:r>
        <w:separator/>
      </w:r>
    </w:p>
  </w:footnote>
  <w:footnote w:type="continuationSeparator" w:id="0">
    <w:p w14:paraId="208BC396" w14:textId="77777777" w:rsidR="00A1350E" w:rsidRDefault="00A13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3AF4"/>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3404"/>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0D9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38CB"/>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AD5"/>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4A94"/>
    <w:rsid w:val="00775AE0"/>
    <w:rsid w:val="00776F9E"/>
    <w:rsid w:val="00777C4D"/>
    <w:rsid w:val="007802D6"/>
    <w:rsid w:val="00780EFA"/>
    <w:rsid w:val="0078115F"/>
    <w:rsid w:val="00782301"/>
    <w:rsid w:val="00784E86"/>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350E"/>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4F17"/>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66D0"/>
    <w:rsid w:val="00AE71A3"/>
    <w:rsid w:val="00AF2450"/>
    <w:rsid w:val="00AF316F"/>
    <w:rsid w:val="00AF41A4"/>
    <w:rsid w:val="00AF7DF5"/>
    <w:rsid w:val="00B001D1"/>
    <w:rsid w:val="00B07715"/>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3977"/>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09BF"/>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2D3"/>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TableParagraph">
    <w:name w:val="Table Paragraph"/>
    <w:basedOn w:val="a1"/>
    <w:uiPriority w:val="1"/>
    <w:qFormat/>
    <w:rsid w:val="00744AD5"/>
    <w:pPr>
      <w:widowControl w:val="0"/>
      <w:autoSpaceDE w:val="0"/>
      <w:autoSpaceDN w:val="0"/>
      <w:ind w:left="200"/>
    </w:pPr>
    <w:rPr>
      <w:sz w:val="22"/>
      <w:szCs w:val="22"/>
      <w:lang w:eastAsia="en-US"/>
    </w:rPr>
  </w:style>
  <w:style w:type="paragraph" w:customStyle="1" w:styleId="aff8">
    <w:name w:val="Знак Знак Знак Знак"/>
    <w:basedOn w:val="a1"/>
    <w:uiPriority w:val="99"/>
    <w:rsid w:val="00774A9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3980</Words>
  <Characters>2269</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2025-12-05T12:15:00Z</dcterms:modified>
</cp:coreProperties>
</file>