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4C410A" w:rsidRPr="004C410A">
        <w:rPr>
          <w:sz w:val="28"/>
          <w:szCs w:val="28"/>
        </w:rPr>
        <w:t>Послуги доступу до мережі Інтернет з використанням комплексної системи захисту інформації захищеного вузла інтернет-доступу</w:t>
      </w:r>
      <w:r w:rsidR="00707250" w:rsidRPr="00707250">
        <w:rPr>
          <w:sz w:val="28"/>
          <w:szCs w:val="28"/>
        </w:rPr>
        <w:t xml:space="preserve"> </w:t>
      </w:r>
      <w:r w:rsidRPr="007638CC">
        <w:rPr>
          <w:sz w:val="28"/>
          <w:szCs w:val="28"/>
        </w:rPr>
        <w:t xml:space="preserve">(код за ДК 021:2015: </w:t>
      </w:r>
      <w:r w:rsidR="004C410A" w:rsidRPr="004C410A">
        <w:rPr>
          <w:sz w:val="28"/>
          <w:szCs w:val="28"/>
        </w:rPr>
        <w:t>72410000-7 Послуги провайдерів</w:t>
      </w:r>
      <w:r w:rsidRPr="007638CC">
        <w:rPr>
          <w:sz w:val="28"/>
          <w:szCs w:val="28"/>
        </w:rPr>
        <w:t>)</w:t>
      </w:r>
      <w:r>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4C410A" w:rsidRPr="004C410A">
        <w:rPr>
          <w:sz w:val="28"/>
          <w:szCs w:val="28"/>
        </w:rPr>
        <w:t>UA-2025-12-11-005969-a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07281B">
        <w:rPr>
          <w:sz w:val="28"/>
          <w:szCs w:val="28"/>
        </w:rPr>
        <w:t>п</w:t>
      </w:r>
      <w:r w:rsidR="0007281B" w:rsidRPr="0007281B">
        <w:rPr>
          <w:sz w:val="28"/>
          <w:szCs w:val="28"/>
        </w:rPr>
        <w:t xml:space="preserve">ослуг </w:t>
      </w:r>
      <w:r w:rsidR="004C410A" w:rsidRPr="004C410A">
        <w:rPr>
          <w:sz w:val="28"/>
          <w:szCs w:val="28"/>
        </w:rPr>
        <w:t>доступу до мережі Інтернет з використанням комплексної системи захисту інформації захищеного вузла інтернет-доступу</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413EE0" w:rsidRPr="00413EE0" w:rsidRDefault="00F56DE4" w:rsidP="00413EE0">
      <w:pPr>
        <w:ind w:firstLine="709"/>
        <w:jc w:val="both"/>
        <w:rPr>
          <w:sz w:val="28"/>
          <w:szCs w:val="28"/>
        </w:rPr>
      </w:pPr>
      <w:r>
        <w:rPr>
          <w:sz w:val="28"/>
          <w:szCs w:val="28"/>
        </w:rPr>
        <w:t>4.</w:t>
      </w:r>
      <w:r w:rsidRPr="000F5409">
        <w:rPr>
          <w:sz w:val="28"/>
          <w:szCs w:val="28"/>
        </w:rPr>
        <w:t>1.</w:t>
      </w:r>
      <w:r w:rsidR="00707250">
        <w:rPr>
          <w:sz w:val="28"/>
          <w:szCs w:val="28"/>
        </w:rPr>
        <w:t xml:space="preserve"> </w:t>
      </w:r>
      <w:r w:rsidR="0007281B" w:rsidRPr="0007281B">
        <w:rPr>
          <w:sz w:val="28"/>
          <w:szCs w:val="28"/>
        </w:rPr>
        <w:tab/>
      </w:r>
      <w:r w:rsidR="00413EE0" w:rsidRPr="00413EE0">
        <w:rPr>
          <w:sz w:val="28"/>
          <w:szCs w:val="28"/>
        </w:rPr>
        <w:t>Загальні вимоги:</w:t>
      </w:r>
    </w:p>
    <w:p w:rsidR="00413EE0" w:rsidRPr="00413EE0" w:rsidRDefault="00413EE0" w:rsidP="00413EE0">
      <w:pPr>
        <w:ind w:firstLine="709"/>
        <w:jc w:val="both"/>
        <w:rPr>
          <w:sz w:val="28"/>
          <w:szCs w:val="28"/>
        </w:rPr>
      </w:pPr>
      <w:r>
        <w:rPr>
          <w:sz w:val="28"/>
          <w:szCs w:val="28"/>
        </w:rPr>
        <w:t>4.</w:t>
      </w:r>
      <w:r w:rsidRPr="00413EE0">
        <w:rPr>
          <w:sz w:val="28"/>
          <w:szCs w:val="28"/>
        </w:rPr>
        <w:t>1.1.</w:t>
      </w:r>
      <w:r w:rsidRPr="00413EE0">
        <w:rPr>
          <w:sz w:val="28"/>
          <w:szCs w:val="28"/>
        </w:rPr>
        <w:tab/>
        <w:t>Послуги захищеного доступу до мережі Інтернет повинні надаватися відповідно до чинних в Україні законодавчих та нормативних актів, зокрема:</w:t>
      </w:r>
    </w:p>
    <w:p w:rsidR="00413EE0" w:rsidRPr="00413EE0" w:rsidRDefault="00413EE0" w:rsidP="00413EE0">
      <w:pPr>
        <w:ind w:firstLine="709"/>
        <w:jc w:val="both"/>
        <w:rPr>
          <w:sz w:val="28"/>
          <w:szCs w:val="28"/>
        </w:rPr>
      </w:pPr>
      <w:r w:rsidRPr="00413EE0">
        <w:rPr>
          <w:sz w:val="28"/>
          <w:szCs w:val="28"/>
        </w:rPr>
        <w:t>-</w:t>
      </w:r>
      <w:r w:rsidRPr="00413EE0">
        <w:rPr>
          <w:sz w:val="28"/>
          <w:szCs w:val="28"/>
        </w:rPr>
        <w:tab/>
        <w:t>Закону України «Про електронні комунікації»;</w:t>
      </w:r>
    </w:p>
    <w:p w:rsidR="00413EE0" w:rsidRPr="00413EE0" w:rsidRDefault="00413EE0" w:rsidP="00413EE0">
      <w:pPr>
        <w:ind w:firstLine="709"/>
        <w:jc w:val="both"/>
        <w:rPr>
          <w:sz w:val="28"/>
          <w:szCs w:val="28"/>
        </w:rPr>
      </w:pPr>
      <w:r w:rsidRPr="00413EE0">
        <w:rPr>
          <w:sz w:val="28"/>
          <w:szCs w:val="28"/>
        </w:rPr>
        <w:t>-</w:t>
      </w:r>
      <w:r w:rsidRPr="00413EE0">
        <w:rPr>
          <w:sz w:val="28"/>
          <w:szCs w:val="28"/>
        </w:rPr>
        <w:tab/>
        <w:t xml:space="preserve">Указу Президента України «Про деякі заходи щодо захисту державних інформацій-них ресурсів у мережах передачі даних» від 24 вересня 2001 р. № 891/2001; </w:t>
      </w:r>
    </w:p>
    <w:p w:rsidR="00413EE0" w:rsidRPr="00413EE0" w:rsidRDefault="00413EE0" w:rsidP="00413EE0">
      <w:pPr>
        <w:ind w:firstLine="709"/>
        <w:jc w:val="both"/>
        <w:rPr>
          <w:sz w:val="28"/>
          <w:szCs w:val="28"/>
        </w:rPr>
      </w:pPr>
      <w:r w:rsidRPr="00413EE0">
        <w:rPr>
          <w:sz w:val="28"/>
          <w:szCs w:val="28"/>
        </w:rPr>
        <w:t>-</w:t>
      </w:r>
      <w:r w:rsidRPr="00413EE0">
        <w:rPr>
          <w:sz w:val="28"/>
          <w:szCs w:val="28"/>
        </w:rPr>
        <w:tab/>
        <w:t xml:space="preserve">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електронних комунікаційних та інформаційно-комунікаційних системах, затвердженого наказом Адміністрації </w:t>
      </w:r>
      <w:proofErr w:type="spellStart"/>
      <w:r w:rsidRPr="00413EE0">
        <w:rPr>
          <w:sz w:val="28"/>
          <w:szCs w:val="28"/>
        </w:rPr>
        <w:t>Держспецзв'язку</w:t>
      </w:r>
      <w:proofErr w:type="spellEnd"/>
      <w:r w:rsidRPr="00413EE0">
        <w:rPr>
          <w:sz w:val="28"/>
          <w:szCs w:val="28"/>
        </w:rPr>
        <w:t xml:space="preserve"> від 10.06.2008 № 94, зареєстрованого в Міністерстві юстиції України 7 липня 2008 р. за № 603/15294;</w:t>
      </w:r>
    </w:p>
    <w:p w:rsidR="00413EE0" w:rsidRPr="00413EE0" w:rsidRDefault="00413EE0" w:rsidP="00413EE0">
      <w:pPr>
        <w:ind w:firstLine="709"/>
        <w:jc w:val="both"/>
        <w:rPr>
          <w:sz w:val="28"/>
          <w:szCs w:val="28"/>
        </w:rPr>
      </w:pPr>
      <w:r w:rsidRPr="00413EE0">
        <w:rPr>
          <w:sz w:val="28"/>
          <w:szCs w:val="28"/>
        </w:rPr>
        <w:lastRenderedPageBreak/>
        <w:t>-</w:t>
      </w:r>
      <w:r w:rsidRPr="00413EE0">
        <w:rPr>
          <w:sz w:val="28"/>
          <w:szCs w:val="28"/>
        </w:rPr>
        <w:tab/>
        <w:t>Правил надання та отримання електронних комунікаційних послуг, затверджених постановою Кабінету Міністрів України від 25 червня 2025 р. № 761, та інших нормативно-правових актів України у сфері електронних комунікацій.</w:t>
      </w:r>
    </w:p>
    <w:p w:rsidR="00413EE0" w:rsidRPr="00413EE0" w:rsidRDefault="00413EE0" w:rsidP="00413EE0">
      <w:pPr>
        <w:ind w:firstLine="709"/>
        <w:jc w:val="both"/>
        <w:rPr>
          <w:sz w:val="28"/>
          <w:szCs w:val="28"/>
        </w:rPr>
      </w:pPr>
      <w:r>
        <w:rPr>
          <w:sz w:val="28"/>
          <w:szCs w:val="28"/>
        </w:rPr>
        <w:t>4.</w:t>
      </w:r>
      <w:r w:rsidRPr="00413EE0">
        <w:rPr>
          <w:sz w:val="28"/>
          <w:szCs w:val="28"/>
        </w:rPr>
        <w:t>2. Вимоги до послуг:</w:t>
      </w:r>
    </w:p>
    <w:p w:rsidR="00413EE0" w:rsidRPr="00413EE0" w:rsidRDefault="00413EE0" w:rsidP="00413EE0">
      <w:pPr>
        <w:ind w:firstLine="709"/>
        <w:jc w:val="both"/>
        <w:rPr>
          <w:sz w:val="28"/>
          <w:szCs w:val="28"/>
        </w:rPr>
      </w:pPr>
      <w:r>
        <w:rPr>
          <w:sz w:val="28"/>
          <w:szCs w:val="28"/>
        </w:rPr>
        <w:t>4.</w:t>
      </w:r>
      <w:r w:rsidRPr="00413EE0">
        <w:rPr>
          <w:sz w:val="28"/>
          <w:szCs w:val="28"/>
        </w:rPr>
        <w:t>2.1.</w:t>
      </w:r>
      <w:r w:rsidRPr="00413EE0">
        <w:rPr>
          <w:sz w:val="28"/>
          <w:szCs w:val="28"/>
        </w:rPr>
        <w:tab/>
        <w:t xml:space="preserve">Тип послуг: послуги захищеного доступу до мережі Інтернет через Захищений вузол Інтернет доступу Виконавця за технологією TCP/IP по виділеній оптично-волоконній лінії зв’язку: </w:t>
      </w:r>
    </w:p>
    <w:p w:rsidR="00413EE0" w:rsidRPr="00413EE0" w:rsidRDefault="00413EE0" w:rsidP="00413EE0">
      <w:pPr>
        <w:ind w:firstLine="709"/>
        <w:jc w:val="both"/>
        <w:rPr>
          <w:sz w:val="28"/>
          <w:szCs w:val="28"/>
        </w:rPr>
      </w:pPr>
      <w:r w:rsidRPr="00413EE0">
        <w:rPr>
          <w:sz w:val="28"/>
          <w:szCs w:val="28"/>
        </w:rPr>
        <w:t xml:space="preserve">за </w:t>
      </w:r>
      <w:proofErr w:type="spellStart"/>
      <w:r w:rsidRPr="00413EE0">
        <w:rPr>
          <w:sz w:val="28"/>
          <w:szCs w:val="28"/>
        </w:rPr>
        <w:t>адресою</w:t>
      </w:r>
      <w:proofErr w:type="spellEnd"/>
      <w:r w:rsidRPr="00413EE0">
        <w:rPr>
          <w:sz w:val="28"/>
          <w:szCs w:val="28"/>
        </w:rPr>
        <w:t xml:space="preserve">: м. Харків, вул. Миколаївська, буд. 16Б на швидкості 1 </w:t>
      </w:r>
      <w:proofErr w:type="spellStart"/>
      <w:r w:rsidRPr="00413EE0">
        <w:rPr>
          <w:sz w:val="28"/>
          <w:szCs w:val="28"/>
        </w:rPr>
        <w:t>Гбіт</w:t>
      </w:r>
      <w:proofErr w:type="spellEnd"/>
      <w:r w:rsidRPr="00413EE0">
        <w:rPr>
          <w:sz w:val="28"/>
          <w:szCs w:val="28"/>
        </w:rPr>
        <w:t>/с без урахування обсягів прийнятої та переданої інформації, операторське та технічне супроводження доступу до мережі Інтернет;</w:t>
      </w:r>
    </w:p>
    <w:p w:rsidR="00413EE0" w:rsidRPr="00413EE0" w:rsidRDefault="00413EE0" w:rsidP="00413EE0">
      <w:pPr>
        <w:ind w:firstLine="709"/>
        <w:jc w:val="both"/>
        <w:rPr>
          <w:sz w:val="28"/>
          <w:szCs w:val="28"/>
        </w:rPr>
      </w:pPr>
      <w:r w:rsidRPr="00413EE0">
        <w:rPr>
          <w:sz w:val="28"/>
          <w:szCs w:val="28"/>
        </w:rPr>
        <w:t xml:space="preserve">за </w:t>
      </w:r>
      <w:proofErr w:type="spellStart"/>
      <w:r w:rsidRPr="00413EE0">
        <w:rPr>
          <w:sz w:val="28"/>
          <w:szCs w:val="28"/>
        </w:rPr>
        <w:t>адресою</w:t>
      </w:r>
      <w:proofErr w:type="spellEnd"/>
      <w:r w:rsidRPr="00413EE0">
        <w:rPr>
          <w:sz w:val="28"/>
          <w:szCs w:val="28"/>
        </w:rPr>
        <w:t>: м. Харків, майдан Свободи, буд.5, під`їзд 6 на швидкості 100 Мбіт/с без урахування обсягів прийнятої та переданої інформації, операторське та технічне супроводження доступу до мережі Інтернет;</w:t>
      </w:r>
    </w:p>
    <w:p w:rsidR="00413EE0" w:rsidRDefault="00413EE0" w:rsidP="00413EE0">
      <w:pPr>
        <w:ind w:firstLine="709"/>
        <w:jc w:val="both"/>
        <w:rPr>
          <w:sz w:val="28"/>
          <w:szCs w:val="28"/>
        </w:rPr>
      </w:pPr>
      <w:r>
        <w:rPr>
          <w:sz w:val="28"/>
          <w:szCs w:val="28"/>
        </w:rPr>
        <w:t>4.</w:t>
      </w:r>
      <w:r w:rsidRPr="00413EE0">
        <w:rPr>
          <w:sz w:val="28"/>
          <w:szCs w:val="28"/>
        </w:rPr>
        <w:t>2.2.</w:t>
      </w:r>
      <w:r w:rsidRPr="00413EE0">
        <w:rPr>
          <w:sz w:val="28"/>
          <w:szCs w:val="28"/>
        </w:rPr>
        <w:tab/>
        <w:t>Цілодобовий захищений доступ до мережі Інтернет повинен надаватися через Захищений вузол Інтернет доступу (ЗВІД) Виконавця, який повинен мати дійсний атестат відповідності системи захисту інформації та експертний висновок до нього.</w:t>
      </w:r>
    </w:p>
    <w:p w:rsidR="00413EE0" w:rsidRDefault="00413EE0" w:rsidP="00413EE0">
      <w:pPr>
        <w:ind w:firstLine="709"/>
        <w:jc w:val="both"/>
        <w:rPr>
          <w:sz w:val="28"/>
          <w:szCs w:val="28"/>
        </w:rPr>
      </w:pPr>
      <w:r>
        <w:rPr>
          <w:sz w:val="28"/>
          <w:szCs w:val="28"/>
        </w:rPr>
        <w:t>4.</w:t>
      </w:r>
      <w:r w:rsidRPr="00413EE0">
        <w:rPr>
          <w:sz w:val="28"/>
          <w:szCs w:val="28"/>
        </w:rPr>
        <w:t>2.3.</w:t>
      </w:r>
      <w:r w:rsidRPr="00413EE0">
        <w:rPr>
          <w:sz w:val="28"/>
          <w:szCs w:val="28"/>
        </w:rPr>
        <w:tab/>
        <w:t xml:space="preserve">Виконавець здійснює розміщення власного обладнання, необхідного для забезпечення надання Послуг на </w:t>
      </w:r>
      <w:proofErr w:type="spellStart"/>
      <w:r w:rsidRPr="00413EE0">
        <w:rPr>
          <w:sz w:val="28"/>
          <w:szCs w:val="28"/>
        </w:rPr>
        <w:t>вузлі</w:t>
      </w:r>
      <w:proofErr w:type="spellEnd"/>
      <w:r w:rsidRPr="00413EE0">
        <w:rPr>
          <w:sz w:val="28"/>
          <w:szCs w:val="28"/>
        </w:rPr>
        <w:t xml:space="preserve"> мережі Замовника, відповідно до паспортних характеристик обладнання, а Замовник забезпечує технічні умови для розміщення та експлуатації обладнання Виконавця.</w:t>
      </w:r>
    </w:p>
    <w:p w:rsidR="00413EE0" w:rsidRDefault="00413EE0" w:rsidP="00413EE0">
      <w:pPr>
        <w:ind w:firstLine="709"/>
        <w:jc w:val="both"/>
        <w:rPr>
          <w:sz w:val="28"/>
          <w:szCs w:val="28"/>
        </w:rPr>
      </w:pPr>
      <w:r>
        <w:rPr>
          <w:sz w:val="28"/>
          <w:szCs w:val="28"/>
        </w:rPr>
        <w:t>4.</w:t>
      </w:r>
      <w:r w:rsidRPr="00413EE0">
        <w:rPr>
          <w:sz w:val="28"/>
          <w:szCs w:val="28"/>
        </w:rPr>
        <w:t>2.4.</w:t>
      </w:r>
      <w:r w:rsidRPr="00413EE0">
        <w:rPr>
          <w:sz w:val="28"/>
          <w:szCs w:val="28"/>
        </w:rPr>
        <w:tab/>
        <w:t>Зона відповідальності Виконавця при наданні Послуг – до інтерфейсу локального мережевого обладнання Замовника. Відповідно все обладнання, включаючи кабелі до інтерфейсу локального мережевого обладнання, надається, встановлюється та налагоджується Виконавцем в рамках надання Послуг, та не використовується для інших цілей.</w:t>
      </w:r>
    </w:p>
    <w:p w:rsidR="00413EE0" w:rsidRDefault="00413EE0" w:rsidP="00413EE0">
      <w:pPr>
        <w:ind w:firstLine="709"/>
        <w:jc w:val="both"/>
        <w:rPr>
          <w:sz w:val="28"/>
          <w:szCs w:val="28"/>
        </w:rPr>
      </w:pPr>
      <w:r>
        <w:rPr>
          <w:sz w:val="28"/>
          <w:szCs w:val="28"/>
        </w:rPr>
        <w:t>4.</w:t>
      </w:r>
      <w:r w:rsidRPr="00413EE0">
        <w:rPr>
          <w:sz w:val="28"/>
          <w:szCs w:val="28"/>
        </w:rPr>
        <w:t>2.5.</w:t>
      </w:r>
      <w:r w:rsidRPr="00413EE0">
        <w:rPr>
          <w:sz w:val="28"/>
          <w:szCs w:val="28"/>
        </w:rPr>
        <w:tab/>
        <w:t>Виконавець повинен мати систему централізованого моніторингу завантаженості, працездатності та інших якісних характеристик каналу передачі даних, та у разі необхідності надавати ці відомості Замовнику.</w:t>
      </w:r>
    </w:p>
    <w:p w:rsidR="00413EE0" w:rsidRDefault="00413EE0" w:rsidP="00413EE0">
      <w:pPr>
        <w:ind w:firstLine="709"/>
        <w:jc w:val="both"/>
        <w:rPr>
          <w:sz w:val="28"/>
          <w:szCs w:val="28"/>
        </w:rPr>
      </w:pPr>
      <w:r>
        <w:rPr>
          <w:sz w:val="28"/>
          <w:szCs w:val="28"/>
        </w:rPr>
        <w:t>4.</w:t>
      </w:r>
      <w:r w:rsidRPr="00413EE0">
        <w:rPr>
          <w:sz w:val="28"/>
          <w:szCs w:val="28"/>
        </w:rPr>
        <w:t>2.6.</w:t>
      </w:r>
      <w:r w:rsidRPr="00413EE0">
        <w:rPr>
          <w:sz w:val="28"/>
          <w:szCs w:val="28"/>
        </w:rPr>
        <w:tab/>
        <w:t>Виконавець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p w:rsidR="00413EE0" w:rsidRPr="00413EE0" w:rsidRDefault="00413EE0" w:rsidP="00413EE0">
      <w:pPr>
        <w:ind w:firstLine="709"/>
        <w:jc w:val="both"/>
        <w:rPr>
          <w:sz w:val="28"/>
          <w:szCs w:val="28"/>
        </w:rPr>
      </w:pPr>
      <w:r>
        <w:rPr>
          <w:sz w:val="28"/>
          <w:szCs w:val="28"/>
        </w:rPr>
        <w:t>4.</w:t>
      </w:r>
      <w:r w:rsidRPr="00413EE0">
        <w:rPr>
          <w:sz w:val="28"/>
          <w:szCs w:val="28"/>
        </w:rPr>
        <w:t>2.7.</w:t>
      </w:r>
      <w:r w:rsidRPr="00413EE0">
        <w:rPr>
          <w:sz w:val="28"/>
          <w:szCs w:val="28"/>
        </w:rPr>
        <w:tab/>
        <w:t>Послуги надаються в режимі 24/7/365.</w:t>
      </w:r>
    </w:p>
    <w:p w:rsidR="00413EE0" w:rsidRPr="00413EE0" w:rsidRDefault="00413EE0" w:rsidP="00413EE0">
      <w:pPr>
        <w:ind w:firstLine="709"/>
        <w:jc w:val="both"/>
        <w:rPr>
          <w:sz w:val="28"/>
          <w:szCs w:val="28"/>
        </w:rPr>
      </w:pPr>
      <w:r>
        <w:rPr>
          <w:sz w:val="28"/>
          <w:szCs w:val="28"/>
        </w:rPr>
        <w:t>4.</w:t>
      </w:r>
      <w:r w:rsidRPr="00413EE0">
        <w:rPr>
          <w:sz w:val="28"/>
          <w:szCs w:val="28"/>
        </w:rPr>
        <w:t xml:space="preserve">3.  Вимоги до операторського та технічного супроводження. </w:t>
      </w:r>
    </w:p>
    <w:p w:rsidR="00413EE0" w:rsidRPr="00413EE0" w:rsidRDefault="00413EE0" w:rsidP="00413EE0">
      <w:pPr>
        <w:ind w:firstLine="709"/>
        <w:jc w:val="both"/>
        <w:rPr>
          <w:sz w:val="28"/>
          <w:szCs w:val="28"/>
        </w:rPr>
      </w:pPr>
      <w:r>
        <w:rPr>
          <w:sz w:val="28"/>
          <w:szCs w:val="28"/>
        </w:rPr>
        <w:t>4.</w:t>
      </w:r>
      <w:r w:rsidRPr="00413EE0">
        <w:rPr>
          <w:sz w:val="28"/>
          <w:szCs w:val="28"/>
        </w:rPr>
        <w:t>3.1.</w:t>
      </w:r>
      <w:r w:rsidRPr="00413EE0">
        <w:rPr>
          <w:sz w:val="28"/>
          <w:szCs w:val="28"/>
        </w:rPr>
        <w:tab/>
        <w:t>Виконавець повинен мати власний Центр технічної підтримки що працює в</w:t>
      </w:r>
    </w:p>
    <w:p w:rsidR="00413EE0" w:rsidRPr="00413EE0" w:rsidRDefault="00413EE0" w:rsidP="00413EE0">
      <w:pPr>
        <w:ind w:firstLine="709"/>
        <w:jc w:val="both"/>
        <w:rPr>
          <w:sz w:val="28"/>
          <w:szCs w:val="28"/>
        </w:rPr>
      </w:pPr>
      <w:r w:rsidRPr="00413EE0">
        <w:rPr>
          <w:sz w:val="28"/>
          <w:szCs w:val="28"/>
        </w:rPr>
        <w:t>режимі: 24х7х365 (цілодобово (00:00-24:00) з понеділка по неділю включно, 365 днів на рік з можливістю звернення по телефону, через веб-сайт або електронну пошту (e-</w:t>
      </w:r>
      <w:proofErr w:type="spellStart"/>
      <w:r w:rsidRPr="00413EE0">
        <w:rPr>
          <w:sz w:val="28"/>
          <w:szCs w:val="28"/>
        </w:rPr>
        <w:t>mail</w:t>
      </w:r>
      <w:proofErr w:type="spellEnd"/>
      <w:r w:rsidRPr="00413EE0">
        <w:rPr>
          <w:sz w:val="28"/>
          <w:szCs w:val="28"/>
        </w:rPr>
        <w:t xml:space="preserve">); </w:t>
      </w:r>
    </w:p>
    <w:p w:rsidR="00413EE0" w:rsidRPr="00413EE0" w:rsidRDefault="00413EE0" w:rsidP="00413EE0">
      <w:pPr>
        <w:ind w:firstLine="709"/>
        <w:jc w:val="both"/>
        <w:rPr>
          <w:sz w:val="28"/>
          <w:szCs w:val="28"/>
        </w:rPr>
      </w:pPr>
      <w:r>
        <w:rPr>
          <w:sz w:val="28"/>
          <w:szCs w:val="28"/>
        </w:rPr>
        <w:t>4.</w:t>
      </w:r>
      <w:r w:rsidRPr="00413EE0">
        <w:rPr>
          <w:sz w:val="28"/>
          <w:szCs w:val="28"/>
        </w:rPr>
        <w:t>3.2.</w:t>
      </w:r>
      <w:r w:rsidRPr="00413EE0">
        <w:rPr>
          <w:sz w:val="28"/>
          <w:szCs w:val="28"/>
        </w:rPr>
        <w:tab/>
        <w:t xml:space="preserve"> Виконавець повинен надати Замовнику перелік телефонів, веб-сайт та електрон-ну пошту (e-</w:t>
      </w:r>
      <w:proofErr w:type="spellStart"/>
      <w:r w:rsidRPr="00413EE0">
        <w:rPr>
          <w:sz w:val="28"/>
          <w:szCs w:val="28"/>
        </w:rPr>
        <w:t>mail</w:t>
      </w:r>
      <w:proofErr w:type="spellEnd"/>
      <w:r w:rsidRPr="00413EE0">
        <w:rPr>
          <w:sz w:val="28"/>
          <w:szCs w:val="28"/>
        </w:rPr>
        <w:t xml:space="preserve">) Центру технічної підтримки протягом 2-х календарних днів з моменту підписання Договору. </w:t>
      </w:r>
    </w:p>
    <w:p w:rsidR="00413EE0" w:rsidRPr="00413EE0" w:rsidRDefault="00413EE0" w:rsidP="00413EE0">
      <w:pPr>
        <w:ind w:firstLine="709"/>
        <w:jc w:val="both"/>
        <w:rPr>
          <w:sz w:val="28"/>
          <w:szCs w:val="28"/>
        </w:rPr>
      </w:pPr>
      <w:r>
        <w:rPr>
          <w:sz w:val="28"/>
          <w:szCs w:val="28"/>
        </w:rPr>
        <w:t>4.</w:t>
      </w:r>
      <w:r w:rsidRPr="00413EE0">
        <w:rPr>
          <w:sz w:val="28"/>
          <w:szCs w:val="28"/>
        </w:rPr>
        <w:t>3.3.</w:t>
      </w:r>
      <w:r w:rsidRPr="00413EE0">
        <w:rPr>
          <w:sz w:val="28"/>
          <w:szCs w:val="28"/>
        </w:rPr>
        <w:tab/>
        <w:t>Звернення (повідомлення) Замовника повинно обов’язково включати: найменування Замовника; ім'я, прізвище, контактний телефон особи, що звертається; причину звернення.</w:t>
      </w:r>
    </w:p>
    <w:p w:rsidR="00413EE0" w:rsidRPr="00413EE0" w:rsidRDefault="00413EE0" w:rsidP="00413EE0">
      <w:pPr>
        <w:ind w:firstLine="709"/>
        <w:jc w:val="both"/>
        <w:rPr>
          <w:sz w:val="28"/>
          <w:szCs w:val="28"/>
        </w:rPr>
      </w:pPr>
      <w:r>
        <w:rPr>
          <w:sz w:val="28"/>
          <w:szCs w:val="28"/>
        </w:rPr>
        <w:lastRenderedPageBreak/>
        <w:t>4.</w:t>
      </w:r>
      <w:r w:rsidRPr="00413EE0">
        <w:rPr>
          <w:sz w:val="28"/>
          <w:szCs w:val="28"/>
        </w:rPr>
        <w:t>3.4.</w:t>
      </w:r>
      <w:r w:rsidRPr="00413EE0">
        <w:rPr>
          <w:sz w:val="28"/>
          <w:szCs w:val="28"/>
        </w:rPr>
        <w:tab/>
        <w:t>На підставі звернення (повідомлення) Замовника Виконавець формує заявку, що включає всі відомості, повідомлені Замовником.</w:t>
      </w:r>
    </w:p>
    <w:p w:rsidR="00413EE0" w:rsidRPr="00413EE0" w:rsidRDefault="00413EE0" w:rsidP="00413EE0">
      <w:pPr>
        <w:ind w:firstLine="709"/>
        <w:jc w:val="both"/>
        <w:rPr>
          <w:sz w:val="28"/>
          <w:szCs w:val="28"/>
        </w:rPr>
      </w:pPr>
      <w:r>
        <w:rPr>
          <w:sz w:val="28"/>
          <w:szCs w:val="28"/>
        </w:rPr>
        <w:t>4.</w:t>
      </w:r>
      <w:r w:rsidRPr="00413EE0">
        <w:rPr>
          <w:sz w:val="28"/>
          <w:szCs w:val="28"/>
        </w:rPr>
        <w:t>3.5.</w:t>
      </w:r>
      <w:r w:rsidRPr="00413EE0">
        <w:rPr>
          <w:sz w:val="28"/>
          <w:szCs w:val="28"/>
        </w:rPr>
        <w:tab/>
        <w:t>Виконавець повинен здійснювати постійний моніторинг каналу передачі даних, виявлення та усунення причин відхилення від заданих технічних характеристик.</w:t>
      </w:r>
    </w:p>
    <w:p w:rsidR="00413EE0" w:rsidRPr="00413EE0" w:rsidRDefault="00413EE0" w:rsidP="00413EE0">
      <w:pPr>
        <w:ind w:firstLine="709"/>
        <w:jc w:val="both"/>
        <w:rPr>
          <w:sz w:val="28"/>
          <w:szCs w:val="28"/>
        </w:rPr>
      </w:pPr>
      <w:r>
        <w:rPr>
          <w:sz w:val="28"/>
          <w:szCs w:val="28"/>
        </w:rPr>
        <w:t>4.</w:t>
      </w:r>
      <w:r w:rsidRPr="00413EE0">
        <w:rPr>
          <w:sz w:val="28"/>
          <w:szCs w:val="28"/>
        </w:rPr>
        <w:t>3.6.</w:t>
      </w:r>
      <w:r w:rsidRPr="00413EE0">
        <w:rPr>
          <w:sz w:val="28"/>
          <w:szCs w:val="28"/>
        </w:rPr>
        <w:tab/>
        <w:t xml:space="preserve">У разі виявлення </w:t>
      </w:r>
      <w:proofErr w:type="spellStart"/>
      <w:r w:rsidRPr="00413EE0">
        <w:rPr>
          <w:sz w:val="28"/>
          <w:szCs w:val="28"/>
        </w:rPr>
        <w:t>кіберінцинденту</w:t>
      </w:r>
      <w:proofErr w:type="spellEnd"/>
      <w:r w:rsidRPr="00413EE0">
        <w:rPr>
          <w:sz w:val="28"/>
          <w:szCs w:val="28"/>
        </w:rPr>
        <w:t xml:space="preserve"> (кібератаки) на ресурси або трафік Замовника Виконавець повинен негайно повідомити про це представників Замовника по телефону та засобами електронної пошти (e-</w:t>
      </w:r>
      <w:proofErr w:type="spellStart"/>
      <w:r w:rsidRPr="00413EE0">
        <w:rPr>
          <w:sz w:val="28"/>
          <w:szCs w:val="28"/>
        </w:rPr>
        <w:t>mail</w:t>
      </w:r>
      <w:proofErr w:type="spellEnd"/>
      <w:r w:rsidRPr="00413EE0">
        <w:rPr>
          <w:sz w:val="28"/>
          <w:szCs w:val="28"/>
        </w:rPr>
        <w:t>).</w:t>
      </w:r>
    </w:p>
    <w:p w:rsidR="00413EE0" w:rsidRPr="00413EE0" w:rsidRDefault="00413EE0" w:rsidP="00413EE0">
      <w:pPr>
        <w:ind w:firstLine="709"/>
        <w:jc w:val="both"/>
        <w:rPr>
          <w:sz w:val="28"/>
          <w:szCs w:val="28"/>
        </w:rPr>
      </w:pPr>
      <w:r>
        <w:rPr>
          <w:sz w:val="28"/>
          <w:szCs w:val="28"/>
        </w:rPr>
        <w:t>4.</w:t>
      </w:r>
      <w:r w:rsidRPr="00413EE0">
        <w:rPr>
          <w:sz w:val="28"/>
          <w:szCs w:val="28"/>
        </w:rPr>
        <w:t>3.7.</w:t>
      </w:r>
      <w:r w:rsidRPr="00413EE0">
        <w:rPr>
          <w:sz w:val="28"/>
          <w:szCs w:val="28"/>
        </w:rPr>
        <w:tab/>
        <w:t>Виконавець повинен щомісячно надавати статистичну інформацію про послуги, що надаються.</w:t>
      </w:r>
    </w:p>
    <w:p w:rsidR="00413EE0" w:rsidRPr="00413EE0" w:rsidRDefault="00413EE0" w:rsidP="00413EE0">
      <w:pPr>
        <w:ind w:firstLine="709"/>
        <w:jc w:val="both"/>
        <w:rPr>
          <w:sz w:val="28"/>
          <w:szCs w:val="28"/>
        </w:rPr>
      </w:pPr>
      <w:r>
        <w:rPr>
          <w:sz w:val="28"/>
          <w:szCs w:val="28"/>
        </w:rPr>
        <w:t>4.</w:t>
      </w:r>
      <w:r w:rsidRPr="00413EE0">
        <w:rPr>
          <w:sz w:val="28"/>
          <w:szCs w:val="28"/>
        </w:rPr>
        <w:t>3.8.</w:t>
      </w:r>
      <w:r w:rsidRPr="00413EE0">
        <w:rPr>
          <w:sz w:val="28"/>
          <w:szCs w:val="28"/>
        </w:rPr>
        <w:tab/>
        <w:t>Виконавець повинен забезпечити усунення пошкоджень каналу передачі даних та відновлення доступу до глобальної мережі у термін (далі - нормований час)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 зареєстрованого в Міністерстві юстиції України 21.01.2013 №135/22667;</w:t>
      </w:r>
    </w:p>
    <w:p w:rsidR="00413EE0" w:rsidRPr="00413EE0" w:rsidRDefault="00413EE0" w:rsidP="00413EE0">
      <w:pPr>
        <w:ind w:firstLine="709"/>
        <w:jc w:val="both"/>
        <w:rPr>
          <w:sz w:val="28"/>
          <w:szCs w:val="28"/>
        </w:rPr>
      </w:pPr>
      <w:r>
        <w:rPr>
          <w:sz w:val="28"/>
          <w:szCs w:val="28"/>
        </w:rPr>
        <w:t>4.</w:t>
      </w:r>
      <w:r w:rsidRPr="00413EE0">
        <w:rPr>
          <w:sz w:val="28"/>
          <w:szCs w:val="28"/>
        </w:rPr>
        <w:t>3.9.</w:t>
      </w:r>
      <w:r w:rsidRPr="00413EE0">
        <w:rPr>
          <w:sz w:val="28"/>
          <w:szCs w:val="28"/>
        </w:rPr>
        <w:tab/>
        <w:t>В умовах планового, аварійного, незапланованого та/або вимушеного відключення електропостачання інфраструктури електронних комунікаційних мереж забезпечити надання Послуг за адресами, що вказані в розділі 2 Технічних вимог – на перші 72 години.</w:t>
      </w:r>
    </w:p>
    <w:p w:rsidR="00413EE0" w:rsidRPr="00413EE0" w:rsidRDefault="00413EE0" w:rsidP="00413EE0">
      <w:pPr>
        <w:ind w:firstLine="709"/>
        <w:jc w:val="both"/>
        <w:rPr>
          <w:sz w:val="28"/>
          <w:szCs w:val="28"/>
        </w:rPr>
      </w:pPr>
      <w:r>
        <w:rPr>
          <w:sz w:val="28"/>
          <w:szCs w:val="28"/>
        </w:rPr>
        <w:t>4.</w:t>
      </w:r>
      <w:r w:rsidRPr="00413EE0">
        <w:rPr>
          <w:sz w:val="28"/>
          <w:szCs w:val="28"/>
        </w:rPr>
        <w:t>3.10.</w:t>
      </w:r>
      <w:r w:rsidRPr="00413EE0">
        <w:rPr>
          <w:sz w:val="28"/>
          <w:szCs w:val="28"/>
        </w:rPr>
        <w:tab/>
        <w:t>Виконавець повинен надати Замовнику віддалений доступ до веб порталу контролю параметрів роботи Системи захисту, статистики, звітів, аналізу параметрів трафіку й ви-явлених аномалій.</w:t>
      </w:r>
    </w:p>
    <w:p w:rsidR="00413EE0" w:rsidRPr="00413EE0" w:rsidRDefault="00413EE0" w:rsidP="00413EE0">
      <w:pPr>
        <w:ind w:firstLine="709"/>
        <w:jc w:val="both"/>
        <w:rPr>
          <w:sz w:val="28"/>
          <w:szCs w:val="28"/>
        </w:rPr>
      </w:pPr>
      <w:r>
        <w:rPr>
          <w:sz w:val="28"/>
          <w:szCs w:val="28"/>
        </w:rPr>
        <w:t>4.</w:t>
      </w:r>
      <w:r w:rsidRPr="00413EE0">
        <w:rPr>
          <w:sz w:val="28"/>
          <w:szCs w:val="28"/>
        </w:rPr>
        <w:t>4. Порядок та строки усунення інцидентів:</w:t>
      </w:r>
    </w:p>
    <w:p w:rsidR="00413EE0" w:rsidRPr="00413EE0" w:rsidRDefault="00413EE0" w:rsidP="00413EE0">
      <w:pPr>
        <w:ind w:firstLine="709"/>
        <w:jc w:val="both"/>
        <w:rPr>
          <w:sz w:val="28"/>
          <w:szCs w:val="28"/>
        </w:rPr>
      </w:pPr>
      <w:r>
        <w:rPr>
          <w:sz w:val="28"/>
          <w:szCs w:val="28"/>
        </w:rPr>
        <w:t>4.</w:t>
      </w:r>
      <w:r w:rsidRPr="00413EE0">
        <w:rPr>
          <w:sz w:val="28"/>
          <w:szCs w:val="28"/>
        </w:rPr>
        <w:t>4.1.</w:t>
      </w:r>
      <w:r w:rsidRPr="00413EE0">
        <w:rPr>
          <w:sz w:val="28"/>
          <w:szCs w:val="28"/>
        </w:rPr>
        <w:tab/>
        <w:t>Відсутність надання послуг протягом 30 хвилин вважається інцидентом.</w:t>
      </w:r>
    </w:p>
    <w:p w:rsidR="00413EE0" w:rsidRPr="00413EE0" w:rsidRDefault="00413EE0" w:rsidP="00413EE0">
      <w:pPr>
        <w:ind w:firstLine="709"/>
        <w:jc w:val="both"/>
        <w:rPr>
          <w:sz w:val="28"/>
          <w:szCs w:val="28"/>
        </w:rPr>
      </w:pPr>
      <w:r>
        <w:rPr>
          <w:sz w:val="28"/>
          <w:szCs w:val="28"/>
        </w:rPr>
        <w:t>4.</w:t>
      </w:r>
      <w:r w:rsidRPr="00413EE0">
        <w:rPr>
          <w:sz w:val="28"/>
          <w:szCs w:val="28"/>
        </w:rPr>
        <w:t>4.2.</w:t>
      </w:r>
      <w:r w:rsidRPr="00413EE0">
        <w:rPr>
          <w:sz w:val="28"/>
          <w:szCs w:val="28"/>
        </w:rPr>
        <w:tab/>
        <w:t>У випадку виникнення інцидентів Виконавець негайно повідомляє про це представників технічної підтримки Замовника по телефону та засобами електронної пошти</w:t>
      </w:r>
    </w:p>
    <w:p w:rsidR="00413EE0" w:rsidRPr="00413EE0" w:rsidRDefault="00413EE0" w:rsidP="00413EE0">
      <w:pPr>
        <w:ind w:firstLine="709"/>
        <w:jc w:val="both"/>
        <w:rPr>
          <w:sz w:val="28"/>
          <w:szCs w:val="28"/>
        </w:rPr>
      </w:pPr>
      <w:r w:rsidRPr="00413EE0">
        <w:rPr>
          <w:sz w:val="28"/>
          <w:szCs w:val="28"/>
        </w:rPr>
        <w:t>(e-</w:t>
      </w:r>
      <w:proofErr w:type="spellStart"/>
      <w:r w:rsidRPr="00413EE0">
        <w:rPr>
          <w:sz w:val="28"/>
          <w:szCs w:val="28"/>
        </w:rPr>
        <w:t>mail</w:t>
      </w:r>
      <w:proofErr w:type="spellEnd"/>
      <w:r w:rsidRPr="00413EE0">
        <w:rPr>
          <w:sz w:val="28"/>
          <w:szCs w:val="28"/>
        </w:rPr>
        <w:t xml:space="preserve">). </w:t>
      </w:r>
    </w:p>
    <w:p w:rsidR="00413EE0" w:rsidRPr="00413EE0" w:rsidRDefault="00413EE0" w:rsidP="00413EE0">
      <w:pPr>
        <w:ind w:firstLine="709"/>
        <w:jc w:val="both"/>
        <w:rPr>
          <w:sz w:val="28"/>
          <w:szCs w:val="28"/>
        </w:rPr>
      </w:pPr>
      <w:r>
        <w:rPr>
          <w:sz w:val="28"/>
          <w:szCs w:val="28"/>
        </w:rPr>
        <w:t>4.</w:t>
      </w:r>
      <w:r w:rsidRPr="00413EE0">
        <w:rPr>
          <w:sz w:val="28"/>
          <w:szCs w:val="28"/>
        </w:rPr>
        <w:t>4.3.</w:t>
      </w:r>
      <w:r w:rsidRPr="00413EE0">
        <w:rPr>
          <w:sz w:val="28"/>
          <w:szCs w:val="28"/>
        </w:rPr>
        <w:tab/>
        <w:t>У випадку, якщо інцидент виявлено Замовником, останній негайно повідомляє про це представників технічної підтримки Виконавця по телефону та засобами електронної пошти (e-</w:t>
      </w:r>
      <w:proofErr w:type="spellStart"/>
      <w:r w:rsidRPr="00413EE0">
        <w:rPr>
          <w:sz w:val="28"/>
          <w:szCs w:val="28"/>
        </w:rPr>
        <w:t>mail</w:t>
      </w:r>
      <w:proofErr w:type="spellEnd"/>
      <w:r w:rsidRPr="00413EE0">
        <w:rPr>
          <w:sz w:val="28"/>
          <w:szCs w:val="28"/>
        </w:rPr>
        <w:t xml:space="preserve">). </w:t>
      </w:r>
    </w:p>
    <w:p w:rsidR="00413EE0" w:rsidRPr="00413EE0" w:rsidRDefault="00413EE0" w:rsidP="00413EE0">
      <w:pPr>
        <w:ind w:firstLine="709"/>
        <w:jc w:val="both"/>
        <w:rPr>
          <w:sz w:val="28"/>
          <w:szCs w:val="28"/>
        </w:rPr>
      </w:pPr>
      <w:r>
        <w:rPr>
          <w:sz w:val="28"/>
          <w:szCs w:val="28"/>
        </w:rPr>
        <w:t>4.</w:t>
      </w:r>
      <w:r w:rsidRPr="00413EE0">
        <w:rPr>
          <w:sz w:val="28"/>
          <w:szCs w:val="28"/>
        </w:rPr>
        <w:t>4.4.</w:t>
      </w:r>
      <w:r w:rsidRPr="00413EE0">
        <w:rPr>
          <w:sz w:val="28"/>
          <w:szCs w:val="28"/>
        </w:rPr>
        <w:tab/>
        <w:t>Початком періоду інциденту вважається отримання Виконавцем від Замовника повідомлення про інцидент або повідомлення Виконавцем Замовника по телефону та засобами електронної пошти (e-</w:t>
      </w:r>
      <w:proofErr w:type="spellStart"/>
      <w:r w:rsidRPr="00413EE0">
        <w:rPr>
          <w:sz w:val="28"/>
          <w:szCs w:val="28"/>
        </w:rPr>
        <w:t>mail</w:t>
      </w:r>
      <w:proofErr w:type="spellEnd"/>
      <w:r w:rsidRPr="00413EE0">
        <w:rPr>
          <w:sz w:val="28"/>
          <w:szCs w:val="28"/>
        </w:rPr>
        <w:t xml:space="preserve">). </w:t>
      </w:r>
    </w:p>
    <w:p w:rsidR="00413EE0" w:rsidRPr="00413EE0" w:rsidRDefault="00413EE0" w:rsidP="00413EE0">
      <w:pPr>
        <w:ind w:firstLine="709"/>
        <w:jc w:val="both"/>
        <w:rPr>
          <w:sz w:val="28"/>
          <w:szCs w:val="28"/>
        </w:rPr>
      </w:pPr>
      <w:r>
        <w:rPr>
          <w:sz w:val="28"/>
          <w:szCs w:val="28"/>
        </w:rPr>
        <w:t>4.</w:t>
      </w:r>
      <w:r w:rsidRPr="00413EE0">
        <w:rPr>
          <w:sz w:val="28"/>
          <w:szCs w:val="28"/>
        </w:rPr>
        <w:t>4.5.</w:t>
      </w:r>
      <w:r w:rsidRPr="00413EE0">
        <w:rPr>
          <w:sz w:val="28"/>
          <w:szCs w:val="28"/>
        </w:rPr>
        <w:tab/>
        <w:t>Строк усунення інцидентів, які виникли з вини Виконавця не повинен перевищувати 2-х годин.</w:t>
      </w:r>
    </w:p>
    <w:p w:rsidR="00413EE0" w:rsidRPr="00413EE0" w:rsidRDefault="00413EE0" w:rsidP="00413EE0">
      <w:pPr>
        <w:ind w:firstLine="709"/>
        <w:jc w:val="both"/>
        <w:rPr>
          <w:sz w:val="28"/>
          <w:szCs w:val="28"/>
        </w:rPr>
      </w:pPr>
      <w:r>
        <w:rPr>
          <w:sz w:val="28"/>
          <w:szCs w:val="28"/>
        </w:rPr>
        <w:t>4.</w:t>
      </w:r>
      <w:r w:rsidRPr="00413EE0">
        <w:rPr>
          <w:sz w:val="28"/>
          <w:szCs w:val="28"/>
        </w:rPr>
        <w:t>4.6.</w:t>
      </w:r>
      <w:r w:rsidRPr="00413EE0">
        <w:rPr>
          <w:sz w:val="28"/>
          <w:szCs w:val="28"/>
        </w:rPr>
        <w:tab/>
        <w:t xml:space="preserve">Порядок та строки усунення інцидентів, що виникли з вини Замовника, погоджується Сторонами в кожному окремому випадку. </w:t>
      </w:r>
    </w:p>
    <w:p w:rsidR="00413EE0" w:rsidRPr="00413EE0" w:rsidRDefault="00413EE0" w:rsidP="00413EE0">
      <w:pPr>
        <w:ind w:firstLine="709"/>
        <w:jc w:val="both"/>
        <w:rPr>
          <w:sz w:val="28"/>
          <w:szCs w:val="28"/>
        </w:rPr>
      </w:pPr>
      <w:r>
        <w:rPr>
          <w:sz w:val="28"/>
          <w:szCs w:val="28"/>
        </w:rPr>
        <w:t>4.</w:t>
      </w:r>
      <w:r w:rsidRPr="00413EE0">
        <w:rPr>
          <w:sz w:val="28"/>
          <w:szCs w:val="28"/>
        </w:rPr>
        <w:t>4.7.</w:t>
      </w:r>
      <w:r w:rsidRPr="00413EE0">
        <w:rPr>
          <w:sz w:val="28"/>
          <w:szCs w:val="28"/>
        </w:rPr>
        <w:tab/>
        <w:t>Завершенням періоду інциденту вважається час фактичного усунення інциденту та відновлення Послуг.</w:t>
      </w:r>
    </w:p>
    <w:p w:rsidR="00413EE0" w:rsidRPr="00413EE0" w:rsidRDefault="00413EE0" w:rsidP="00413EE0">
      <w:pPr>
        <w:ind w:firstLine="709"/>
        <w:jc w:val="both"/>
        <w:rPr>
          <w:sz w:val="28"/>
          <w:szCs w:val="28"/>
        </w:rPr>
      </w:pPr>
      <w:r>
        <w:rPr>
          <w:sz w:val="28"/>
          <w:szCs w:val="28"/>
        </w:rPr>
        <w:t>4.</w:t>
      </w:r>
      <w:r w:rsidRPr="00413EE0">
        <w:rPr>
          <w:sz w:val="28"/>
          <w:szCs w:val="28"/>
        </w:rPr>
        <w:t>4.8.</w:t>
      </w:r>
      <w:r w:rsidRPr="00413EE0">
        <w:rPr>
          <w:sz w:val="28"/>
          <w:szCs w:val="28"/>
        </w:rPr>
        <w:tab/>
        <w:t>Про факт відновлення Послуг Виконавець повідомляє Замовника по телефону та дублює повідомлення на електронну пошту (e-</w:t>
      </w:r>
      <w:proofErr w:type="spellStart"/>
      <w:r w:rsidRPr="00413EE0">
        <w:rPr>
          <w:sz w:val="28"/>
          <w:szCs w:val="28"/>
        </w:rPr>
        <w:t>mail</w:t>
      </w:r>
      <w:proofErr w:type="spellEnd"/>
      <w:r w:rsidRPr="00413EE0">
        <w:rPr>
          <w:sz w:val="28"/>
          <w:szCs w:val="28"/>
        </w:rPr>
        <w:t>). На повідомлення Виконавця Замовник підтверджує чи не підтверджує факт відновлення надання Послуг.</w:t>
      </w:r>
    </w:p>
    <w:p w:rsidR="00413EE0" w:rsidRPr="00413EE0" w:rsidRDefault="00413EE0" w:rsidP="00413EE0">
      <w:pPr>
        <w:ind w:firstLine="709"/>
        <w:jc w:val="both"/>
        <w:rPr>
          <w:sz w:val="28"/>
          <w:szCs w:val="28"/>
        </w:rPr>
      </w:pPr>
      <w:r>
        <w:rPr>
          <w:sz w:val="28"/>
          <w:szCs w:val="28"/>
        </w:rPr>
        <w:lastRenderedPageBreak/>
        <w:t>4.</w:t>
      </w:r>
      <w:r w:rsidRPr="00413EE0">
        <w:rPr>
          <w:sz w:val="28"/>
          <w:szCs w:val="28"/>
        </w:rPr>
        <w:t>4.9.</w:t>
      </w:r>
      <w:r w:rsidRPr="00413EE0">
        <w:rPr>
          <w:sz w:val="28"/>
          <w:szCs w:val="28"/>
        </w:rPr>
        <w:tab/>
        <w:t>Замовник зобов’язується надавати персоналу Виконавця доступ до приміщень Замовника, електронного комунікаційного обладнання, яке встановлено у Замовника відповідно п. 3.4 Технічних вимог, що забезпечує надання Послуг та розміщене в приміщеннях Замовника, для виконання робіт по відновленню Послуг.</w:t>
      </w:r>
    </w:p>
    <w:p w:rsidR="00413EE0" w:rsidRPr="00413EE0" w:rsidRDefault="00413EE0" w:rsidP="00413EE0">
      <w:pPr>
        <w:ind w:firstLine="709"/>
        <w:jc w:val="both"/>
        <w:rPr>
          <w:sz w:val="28"/>
          <w:szCs w:val="28"/>
        </w:rPr>
      </w:pPr>
      <w:r>
        <w:rPr>
          <w:sz w:val="28"/>
          <w:szCs w:val="28"/>
        </w:rPr>
        <w:t>4.</w:t>
      </w:r>
      <w:r w:rsidRPr="00413EE0">
        <w:rPr>
          <w:sz w:val="28"/>
          <w:szCs w:val="28"/>
        </w:rPr>
        <w:t>4.10.</w:t>
      </w:r>
      <w:r w:rsidRPr="00413EE0">
        <w:rPr>
          <w:sz w:val="28"/>
          <w:szCs w:val="28"/>
        </w:rPr>
        <w:tab/>
        <w:t>Для отримання необхідного доступу до приміщень Замовника, Виконавець надсилає листа з переліком працівників, які будуть виконувати роботи. Оператор пред’являє Замовнику службові посвідчення та направлення на виконання робіт.</w:t>
      </w:r>
    </w:p>
    <w:p w:rsidR="00413EE0" w:rsidRPr="00413EE0" w:rsidRDefault="00413EE0" w:rsidP="00413EE0">
      <w:pPr>
        <w:ind w:firstLine="709"/>
        <w:jc w:val="both"/>
        <w:rPr>
          <w:sz w:val="28"/>
          <w:szCs w:val="28"/>
        </w:rPr>
      </w:pPr>
      <w:r>
        <w:rPr>
          <w:sz w:val="28"/>
          <w:szCs w:val="28"/>
        </w:rPr>
        <w:t>4.</w:t>
      </w:r>
      <w:r w:rsidRPr="00413EE0">
        <w:rPr>
          <w:sz w:val="28"/>
          <w:szCs w:val="28"/>
        </w:rPr>
        <w:t>4.11.</w:t>
      </w:r>
      <w:r w:rsidRPr="00413EE0">
        <w:rPr>
          <w:sz w:val="28"/>
          <w:szCs w:val="28"/>
        </w:rPr>
        <w:tab/>
        <w:t>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w:t>
      </w:r>
    </w:p>
    <w:p w:rsidR="00413EE0" w:rsidRPr="00413EE0" w:rsidRDefault="00413EE0" w:rsidP="00413EE0">
      <w:pPr>
        <w:ind w:firstLine="709"/>
        <w:jc w:val="both"/>
        <w:rPr>
          <w:sz w:val="28"/>
          <w:szCs w:val="28"/>
        </w:rPr>
      </w:pPr>
      <w:r>
        <w:rPr>
          <w:sz w:val="28"/>
          <w:szCs w:val="28"/>
        </w:rPr>
        <w:t>4.</w:t>
      </w:r>
      <w:r w:rsidRPr="00413EE0">
        <w:rPr>
          <w:sz w:val="28"/>
          <w:szCs w:val="28"/>
        </w:rPr>
        <w:t>4.12.</w:t>
      </w:r>
      <w:r w:rsidRPr="00413EE0">
        <w:rPr>
          <w:sz w:val="28"/>
          <w:szCs w:val="28"/>
        </w:rPr>
        <w:tab/>
        <w:t>При надходженні заявки про інцидент (відсутність Послуги з вини Виконавця)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w:t>
      </w:r>
    </w:p>
    <w:p w:rsidR="00413EE0" w:rsidRPr="00413EE0" w:rsidRDefault="00413EE0" w:rsidP="00413EE0">
      <w:pPr>
        <w:ind w:firstLine="709"/>
        <w:jc w:val="both"/>
        <w:rPr>
          <w:sz w:val="28"/>
          <w:szCs w:val="28"/>
        </w:rPr>
      </w:pPr>
      <w:r>
        <w:rPr>
          <w:sz w:val="28"/>
          <w:szCs w:val="28"/>
        </w:rPr>
        <w:t>4.</w:t>
      </w:r>
      <w:r w:rsidRPr="00413EE0">
        <w:rPr>
          <w:sz w:val="28"/>
          <w:szCs w:val="28"/>
        </w:rPr>
        <w:t>5.  Вимоги до учасника:</w:t>
      </w:r>
    </w:p>
    <w:p w:rsidR="00413EE0" w:rsidRPr="00413EE0" w:rsidRDefault="00413EE0" w:rsidP="00413EE0">
      <w:pPr>
        <w:ind w:firstLine="709"/>
        <w:jc w:val="both"/>
        <w:rPr>
          <w:sz w:val="28"/>
          <w:szCs w:val="28"/>
        </w:rPr>
      </w:pPr>
      <w:r>
        <w:rPr>
          <w:sz w:val="28"/>
          <w:szCs w:val="28"/>
        </w:rPr>
        <w:t>4.</w:t>
      </w:r>
      <w:r w:rsidRPr="00413EE0">
        <w:rPr>
          <w:sz w:val="28"/>
          <w:szCs w:val="28"/>
        </w:rPr>
        <w:t>5.1.  На підтвердження відповідності тендерної пропозиції учасника технічним, якісним, кількісним вимогам, а також відповідності системи захисту інформації ЗВІД встановленим вимогам у сфері захисту інформації учасник повинен надати:</w:t>
      </w:r>
    </w:p>
    <w:p w:rsidR="00413EE0" w:rsidRPr="00413EE0" w:rsidRDefault="00413EE0" w:rsidP="00413EE0">
      <w:pPr>
        <w:ind w:firstLine="709"/>
        <w:jc w:val="both"/>
        <w:rPr>
          <w:sz w:val="28"/>
          <w:szCs w:val="28"/>
        </w:rPr>
      </w:pPr>
      <w:r w:rsidRPr="00413EE0">
        <w:rPr>
          <w:sz w:val="28"/>
          <w:szCs w:val="28"/>
        </w:rPr>
        <w:t xml:space="preserve">- Копію чинного із терміном дії до кінця військового стану або до 31.12.2026 року Атестату (або Атестатів) відповідності комплексної системи захисту інформації, зареєстрованого в Адміністрації Державної служби спеціального зв’язку та захисту інформації України, на існуючу інформаційно-комунікаційну систему, що належить учаснику та копію відповідного Експертного висновку (або Експертних висновків) до Атестату, що є його невід’ємною частиною. На підтвердження територіального рознесення основного та резервного комплексів КСЗІ ІКС, в Експертному висновку має міститись посилання на розміщення КСЗІ ІКС або мають бути зазначені населені пункти або області України розташування комплексів КСЗІ ІКС. Замість </w:t>
      </w:r>
      <w:proofErr w:type="spellStart"/>
      <w:r w:rsidRPr="00413EE0">
        <w:rPr>
          <w:sz w:val="28"/>
          <w:szCs w:val="28"/>
        </w:rPr>
        <w:t>Екпертного</w:t>
      </w:r>
      <w:proofErr w:type="spellEnd"/>
      <w:r w:rsidRPr="00413EE0">
        <w:rPr>
          <w:sz w:val="28"/>
          <w:szCs w:val="28"/>
        </w:rPr>
        <w:t xml:space="preserve"> висновку можливе надання витягу з нього, який містить вищезазначену інформацію.</w:t>
      </w:r>
    </w:p>
    <w:p w:rsidR="00413EE0" w:rsidRPr="00413EE0" w:rsidRDefault="00413EE0" w:rsidP="00413EE0">
      <w:pPr>
        <w:ind w:firstLine="709"/>
        <w:jc w:val="both"/>
        <w:rPr>
          <w:sz w:val="28"/>
          <w:szCs w:val="28"/>
        </w:rPr>
      </w:pPr>
      <w:r w:rsidRPr="00413EE0">
        <w:rPr>
          <w:sz w:val="28"/>
          <w:szCs w:val="28"/>
        </w:rPr>
        <w:t>- Довідку в довільній формі, яка підтверджує внесення Учасника до Реєстру постачальників електронних комунікаційних мереж та послуг (далі – Реєстр), затвердженого Постановою Національної комісії, що здійснює регулювання у сферах електронних комунікацій, радіочастотного спектра та надання послуг поштового зв’язку (далі НКЕК) від 20.04.2022 № 30 «Питання ведення реєстру постачальників електронних комунікаційних мереж та послуг» із зазначенням порядкового номеру в Реєстрі. Запис у Реєстрі повинен свідчити про те, що учасник на момент подання тендерної пропозиції не припинив діяльність з надання електронних комунікаційних послуг та не виключений з Реєстру.</w:t>
      </w:r>
    </w:p>
    <w:p w:rsidR="00413EE0" w:rsidRPr="00413EE0" w:rsidRDefault="00413EE0" w:rsidP="00413EE0">
      <w:pPr>
        <w:ind w:firstLine="709"/>
        <w:jc w:val="both"/>
        <w:rPr>
          <w:sz w:val="28"/>
          <w:szCs w:val="28"/>
        </w:rPr>
      </w:pPr>
      <w:r w:rsidRPr="00413EE0">
        <w:rPr>
          <w:sz w:val="28"/>
          <w:szCs w:val="28"/>
        </w:rPr>
        <w:t>- Довідку в довільній формі про організацію цілодобової технічної підтримки послуги (телефони «гарячої лінії», e-</w:t>
      </w:r>
      <w:proofErr w:type="spellStart"/>
      <w:r w:rsidRPr="00413EE0">
        <w:rPr>
          <w:sz w:val="28"/>
          <w:szCs w:val="28"/>
        </w:rPr>
        <w:t>mail</w:t>
      </w:r>
      <w:proofErr w:type="spellEnd"/>
      <w:r w:rsidRPr="00413EE0">
        <w:rPr>
          <w:sz w:val="28"/>
          <w:szCs w:val="28"/>
        </w:rPr>
        <w:t xml:space="preserve"> адреси, сайти технічної </w:t>
      </w:r>
      <w:r w:rsidRPr="00413EE0">
        <w:rPr>
          <w:sz w:val="28"/>
          <w:szCs w:val="28"/>
        </w:rPr>
        <w:lastRenderedPageBreak/>
        <w:t>підтримки тощо). Інформація зазначена у довідці повинна бути підтверджена інформацією з офіційного сайту Учасника (за наявності).</w:t>
      </w:r>
    </w:p>
    <w:p w:rsidR="00707250" w:rsidRDefault="00413EE0" w:rsidP="00413EE0">
      <w:pPr>
        <w:ind w:firstLine="709"/>
        <w:jc w:val="both"/>
        <w:rPr>
          <w:sz w:val="28"/>
          <w:szCs w:val="28"/>
        </w:rPr>
      </w:pPr>
      <w:r w:rsidRPr="00413EE0">
        <w:rPr>
          <w:sz w:val="28"/>
          <w:szCs w:val="28"/>
        </w:rPr>
        <w:t>- Копії чинних сертифікатів відповідності вимогам міжнародного стандарту ISO 27001:2013 або ISO 27001:2022 «Інформаційні технології. Методи захисту. Системи менеджменту інформаційної безпеки. Вимоги» та копію атестата про акредитацію органу оцінки відповідності (сертифікації) із додатками, які підтверджують сферу акредитації. Орган оцінки відповідності (сертифікації), який видав сертифікат, повинен бути акредитований відповідно до законодавства у сфері акредитації або призначений відповідно до законодавства про технічні регламенти та оцінку відповідності, або бути іноземним органом з оцінки відповідності, акредитованим відповідно іноземними органами з акредитації, що є підписантами багатосторонньої угоди про визнання Міжнародного форуму з акредитації та/або Європейської кооперації з акредитації (EA MLA).</w:t>
      </w:r>
    </w:p>
    <w:p w:rsidR="00CF5DFE" w:rsidRPr="0007281B" w:rsidRDefault="00CF5DFE" w:rsidP="00707250">
      <w:pPr>
        <w:ind w:firstLine="709"/>
        <w:jc w:val="both"/>
        <w:rPr>
          <w:sz w:val="28"/>
          <w:szCs w:val="28"/>
        </w:rPr>
      </w:pPr>
    </w:p>
    <w:p w:rsidR="00F56DE4" w:rsidRDefault="00F56DE4" w:rsidP="0064353C">
      <w:pPr>
        <w:ind w:firstLine="709"/>
        <w:contextualSpacing/>
        <w:jc w:val="both"/>
        <w:rPr>
          <w:sz w:val="28"/>
          <w:szCs w:val="28"/>
        </w:rPr>
      </w:pPr>
      <w:r>
        <w:rPr>
          <w:sz w:val="28"/>
          <w:szCs w:val="28"/>
        </w:rPr>
        <w:t xml:space="preserve">5. Обґрунтування розміру бюджетного призначення: </w:t>
      </w:r>
      <w:r w:rsidR="00CF5DFE">
        <w:rPr>
          <w:sz w:val="28"/>
          <w:szCs w:val="28"/>
        </w:rPr>
        <w:t>відповідно до бюджетного запиту на 2026 рік.</w:t>
      </w:r>
    </w:p>
    <w:p w:rsidR="00F56DE4" w:rsidRDefault="00F56DE4" w:rsidP="0064353C">
      <w:pPr>
        <w:ind w:firstLine="709"/>
        <w:contextualSpacing/>
        <w:jc w:val="both"/>
        <w:rPr>
          <w:sz w:val="28"/>
          <w:szCs w:val="28"/>
        </w:rPr>
      </w:pPr>
    </w:p>
    <w:p w:rsidR="00F56DE4" w:rsidRDefault="00F56DE4" w:rsidP="0064353C">
      <w:pPr>
        <w:ind w:firstLine="709"/>
        <w:contextualSpacing/>
        <w:jc w:val="both"/>
        <w:rPr>
          <w:sz w:val="28"/>
          <w:szCs w:val="28"/>
        </w:rPr>
      </w:pPr>
      <w:r>
        <w:rPr>
          <w:sz w:val="28"/>
          <w:szCs w:val="28"/>
        </w:rPr>
        <w:t xml:space="preserve">6. Очікувана вартість предмета закупівлі: </w:t>
      </w:r>
      <w:r w:rsidR="00413EE0">
        <w:rPr>
          <w:sz w:val="28"/>
          <w:szCs w:val="28"/>
        </w:rPr>
        <w:t>140726,40</w:t>
      </w:r>
      <w:r w:rsidRPr="0064353C">
        <w:rPr>
          <w:sz w:val="28"/>
          <w:szCs w:val="28"/>
        </w:rPr>
        <w:t xml:space="preserve"> грн. (</w:t>
      </w:r>
      <w:r w:rsidR="00413EE0">
        <w:rPr>
          <w:sz w:val="28"/>
          <w:szCs w:val="28"/>
        </w:rPr>
        <w:t xml:space="preserve">Сто сорок </w:t>
      </w:r>
      <w:r w:rsidR="00A6202F">
        <w:rPr>
          <w:sz w:val="28"/>
          <w:szCs w:val="28"/>
        </w:rPr>
        <w:t xml:space="preserve">тисяч </w:t>
      </w:r>
      <w:r w:rsidR="00413EE0">
        <w:rPr>
          <w:sz w:val="28"/>
          <w:szCs w:val="28"/>
        </w:rPr>
        <w:t xml:space="preserve">сімсот двадцять шість </w:t>
      </w:r>
      <w:bookmarkStart w:id="0" w:name="_GoBack"/>
      <w:bookmarkEnd w:id="0"/>
      <w:r w:rsidRPr="0064353C">
        <w:rPr>
          <w:sz w:val="28"/>
          <w:szCs w:val="28"/>
        </w:rPr>
        <w:t>грив</w:t>
      </w:r>
      <w:r w:rsidR="0007281B">
        <w:rPr>
          <w:sz w:val="28"/>
          <w:szCs w:val="28"/>
        </w:rPr>
        <w:t>ень</w:t>
      </w:r>
      <w:r w:rsidRPr="0064353C">
        <w:rPr>
          <w:sz w:val="28"/>
          <w:szCs w:val="28"/>
        </w:rPr>
        <w:t xml:space="preserve"> </w:t>
      </w:r>
      <w:r w:rsidR="00A6202F">
        <w:rPr>
          <w:sz w:val="28"/>
          <w:szCs w:val="28"/>
        </w:rPr>
        <w:t>00</w:t>
      </w:r>
      <w:r w:rsidRPr="0064353C">
        <w:rPr>
          <w:sz w:val="28"/>
          <w:szCs w:val="28"/>
        </w:rPr>
        <w:t xml:space="preserve"> копійок) з ПДВ.</w:t>
      </w:r>
    </w:p>
    <w:p w:rsidR="00F56DE4" w:rsidRDefault="00F56DE4">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B8A2865"/>
    <w:multiLevelType w:val="multilevel"/>
    <w:tmpl w:val="FFFFFFFF"/>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7281B"/>
    <w:rsid w:val="000F5409"/>
    <w:rsid w:val="001F193F"/>
    <w:rsid w:val="00233594"/>
    <w:rsid w:val="002C557A"/>
    <w:rsid w:val="003723E1"/>
    <w:rsid w:val="003D312B"/>
    <w:rsid w:val="00413EE0"/>
    <w:rsid w:val="004C410A"/>
    <w:rsid w:val="004E20B4"/>
    <w:rsid w:val="00580B3D"/>
    <w:rsid w:val="005C1972"/>
    <w:rsid w:val="0064353C"/>
    <w:rsid w:val="00707250"/>
    <w:rsid w:val="007638CC"/>
    <w:rsid w:val="007F4622"/>
    <w:rsid w:val="008000AF"/>
    <w:rsid w:val="008054B6"/>
    <w:rsid w:val="009A22BD"/>
    <w:rsid w:val="00A22D61"/>
    <w:rsid w:val="00A6202F"/>
    <w:rsid w:val="00CF5DFE"/>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24011"/>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8145</Words>
  <Characters>4643</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26</cp:revision>
  <cp:lastPrinted>2023-03-08T12:33:00Z</cp:lastPrinted>
  <dcterms:created xsi:type="dcterms:W3CDTF">2023-12-01T11:47:00Z</dcterms:created>
  <dcterms:modified xsi:type="dcterms:W3CDTF">2025-12-11T11:16:00Z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