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7B0" w:rsidRPr="00B3094B" w:rsidRDefault="002637B0" w:rsidP="000506FD">
      <w:pPr>
        <w:ind w:firstLine="357"/>
        <w:jc w:val="center"/>
        <w:rPr>
          <w:b/>
          <w:bCs/>
        </w:rPr>
      </w:pPr>
    </w:p>
    <w:p w:rsidR="006E0648" w:rsidRPr="00B3094B" w:rsidRDefault="006E0648" w:rsidP="006E0648">
      <w:pPr>
        <w:contextualSpacing/>
        <w:jc w:val="center"/>
        <w:rPr>
          <w:b/>
          <w:sz w:val="28"/>
          <w:szCs w:val="28"/>
        </w:rPr>
      </w:pPr>
      <w:r w:rsidRPr="00B3094B">
        <w:rPr>
          <w:b/>
          <w:sz w:val="28"/>
          <w:szCs w:val="28"/>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7919B9" w:rsidRPr="00B3094B" w:rsidRDefault="006E0648" w:rsidP="006E0648">
      <w:pPr>
        <w:contextualSpacing/>
        <w:jc w:val="center"/>
        <w:rPr>
          <w:b/>
          <w:sz w:val="28"/>
          <w:szCs w:val="28"/>
        </w:rPr>
      </w:pPr>
      <w:r w:rsidRPr="00B3094B">
        <w:rPr>
          <w:b/>
          <w:sz w:val="28"/>
          <w:szCs w:val="28"/>
        </w:rPr>
        <w:t>(відповідно до пункту 4</w:t>
      </w:r>
      <w:r w:rsidRPr="00B3094B">
        <w:rPr>
          <w:b/>
          <w:sz w:val="28"/>
          <w:szCs w:val="28"/>
          <w:vertAlign w:val="superscript"/>
        </w:rPr>
        <w:t>1</w:t>
      </w:r>
      <w:r w:rsidRPr="00B3094B">
        <w:rPr>
          <w:b/>
          <w:sz w:val="28"/>
          <w:szCs w:val="28"/>
        </w:rPr>
        <w:t xml:space="preserve"> постанови КМУ від 11.10.2016 № 710 </w:t>
      </w:r>
    </w:p>
    <w:p w:rsidR="006E0648" w:rsidRPr="00B3094B" w:rsidRDefault="006E0648" w:rsidP="006E0648">
      <w:pPr>
        <w:contextualSpacing/>
        <w:jc w:val="center"/>
        <w:rPr>
          <w:b/>
          <w:sz w:val="28"/>
          <w:szCs w:val="28"/>
        </w:rPr>
      </w:pPr>
      <w:r w:rsidRPr="00B3094B">
        <w:rPr>
          <w:b/>
          <w:sz w:val="28"/>
          <w:szCs w:val="28"/>
        </w:rPr>
        <w:t>«Про ефективне</w:t>
      </w:r>
      <w:r w:rsidR="007919B9" w:rsidRPr="00B3094B">
        <w:rPr>
          <w:b/>
          <w:sz w:val="28"/>
          <w:szCs w:val="28"/>
        </w:rPr>
        <w:t xml:space="preserve"> </w:t>
      </w:r>
      <w:r w:rsidRPr="00B3094B">
        <w:rPr>
          <w:b/>
          <w:sz w:val="28"/>
          <w:szCs w:val="28"/>
        </w:rPr>
        <w:t>використання державних коштів» (зі змінами))</w:t>
      </w:r>
    </w:p>
    <w:p w:rsidR="006E0648" w:rsidRPr="00B3094B" w:rsidRDefault="006E0648" w:rsidP="006E0648">
      <w:pPr>
        <w:contextualSpacing/>
        <w:jc w:val="center"/>
        <w:rPr>
          <w:b/>
          <w:sz w:val="28"/>
          <w:szCs w:val="28"/>
        </w:rPr>
      </w:pPr>
    </w:p>
    <w:p w:rsidR="006E0648" w:rsidRPr="00B3094B" w:rsidRDefault="006E0648" w:rsidP="006E0648">
      <w:pPr>
        <w:contextualSpacing/>
        <w:jc w:val="center"/>
        <w:rPr>
          <w:b/>
          <w:sz w:val="28"/>
          <w:szCs w:val="28"/>
        </w:rPr>
      </w:pPr>
    </w:p>
    <w:p w:rsidR="006E0648" w:rsidRPr="00B3094B" w:rsidRDefault="006E0648" w:rsidP="00EE2B3B">
      <w:pPr>
        <w:ind w:firstLine="567"/>
        <w:contextualSpacing/>
        <w:jc w:val="both"/>
        <w:rPr>
          <w:sz w:val="28"/>
          <w:szCs w:val="28"/>
        </w:rPr>
      </w:pPr>
      <w:r w:rsidRPr="00B3094B">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0A043A" w:rsidRPr="00B3094B">
        <w:rPr>
          <w:sz w:val="28"/>
          <w:szCs w:val="28"/>
        </w:rPr>
        <w:t>Сумська митниця</w:t>
      </w:r>
      <w:r w:rsidRPr="00B3094B">
        <w:rPr>
          <w:sz w:val="28"/>
          <w:szCs w:val="28"/>
        </w:rPr>
        <w:t xml:space="preserve">; вул. </w:t>
      </w:r>
      <w:r w:rsidR="000A043A" w:rsidRPr="00B3094B">
        <w:rPr>
          <w:sz w:val="28"/>
          <w:szCs w:val="28"/>
        </w:rPr>
        <w:t>Юрія Вєтрова</w:t>
      </w:r>
      <w:r w:rsidRPr="00B3094B">
        <w:rPr>
          <w:sz w:val="28"/>
          <w:szCs w:val="28"/>
        </w:rPr>
        <w:t xml:space="preserve">, </w:t>
      </w:r>
      <w:r w:rsidR="000A043A" w:rsidRPr="00B3094B">
        <w:rPr>
          <w:sz w:val="28"/>
          <w:szCs w:val="28"/>
        </w:rPr>
        <w:t>24</w:t>
      </w:r>
      <w:r w:rsidRPr="00B3094B">
        <w:rPr>
          <w:sz w:val="28"/>
          <w:szCs w:val="28"/>
        </w:rPr>
        <w:t xml:space="preserve">, м. </w:t>
      </w:r>
      <w:r w:rsidR="000A043A" w:rsidRPr="00B3094B">
        <w:rPr>
          <w:sz w:val="28"/>
          <w:szCs w:val="28"/>
        </w:rPr>
        <w:t>Суми</w:t>
      </w:r>
      <w:r w:rsidRPr="00B3094B">
        <w:rPr>
          <w:sz w:val="28"/>
          <w:szCs w:val="28"/>
        </w:rPr>
        <w:t xml:space="preserve">, </w:t>
      </w:r>
      <w:r w:rsidR="000A043A" w:rsidRPr="00B3094B">
        <w:rPr>
          <w:sz w:val="28"/>
          <w:szCs w:val="28"/>
        </w:rPr>
        <w:t>40024</w:t>
      </w:r>
      <w:r w:rsidRPr="00B3094B">
        <w:rPr>
          <w:sz w:val="28"/>
          <w:szCs w:val="28"/>
        </w:rPr>
        <w:t xml:space="preserve">; код за ЄДРПОУ – </w:t>
      </w:r>
      <w:r w:rsidR="000A043A" w:rsidRPr="00B3094B">
        <w:rPr>
          <w:sz w:val="28"/>
          <w:szCs w:val="28"/>
        </w:rPr>
        <w:t>44017631</w:t>
      </w:r>
      <w:r w:rsidRPr="00B3094B">
        <w:rPr>
          <w:sz w:val="28"/>
          <w:szCs w:val="28"/>
        </w:rPr>
        <w:t>; категорія замовника – орган державної  влади.</w:t>
      </w:r>
    </w:p>
    <w:p w:rsidR="009D48EC" w:rsidRPr="00B3094B" w:rsidRDefault="006E0648" w:rsidP="007919B9">
      <w:pPr>
        <w:ind w:firstLine="567"/>
        <w:contextualSpacing/>
        <w:jc w:val="both"/>
        <w:rPr>
          <w:b/>
          <w:sz w:val="28"/>
          <w:szCs w:val="28"/>
        </w:rPr>
      </w:pPr>
      <w:r w:rsidRPr="00B3094B">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w:t>
      </w:r>
      <w:proofErr w:type="spellStart"/>
      <w:r w:rsidRPr="00B3094B">
        <w:rPr>
          <w:b/>
          <w:sz w:val="28"/>
          <w:szCs w:val="28"/>
        </w:rPr>
        <w:t>клас</w:t>
      </w:r>
      <w:r w:rsidR="0018585C" w:rsidRPr="00B3094B">
        <w:rPr>
          <w:b/>
          <w:sz w:val="28"/>
          <w:szCs w:val="28"/>
        </w:rPr>
        <w:t>ифікато</w:t>
      </w:r>
      <w:r w:rsidRPr="00B3094B">
        <w:rPr>
          <w:b/>
          <w:sz w:val="28"/>
          <w:szCs w:val="28"/>
        </w:rPr>
        <w:t>ів</w:t>
      </w:r>
      <w:proofErr w:type="spellEnd"/>
      <w:r w:rsidRPr="00B3094B">
        <w:rPr>
          <w:b/>
          <w:sz w:val="28"/>
          <w:szCs w:val="28"/>
        </w:rPr>
        <w:t xml:space="preserve"> предмета закупівлі і частин предмета закупівлі (лотів) (за наявності): </w:t>
      </w:r>
    </w:p>
    <w:p w:rsidR="009D48EC" w:rsidRPr="00B3094B" w:rsidRDefault="007C2BD8" w:rsidP="00EE2B3B">
      <w:pPr>
        <w:jc w:val="center"/>
        <w:rPr>
          <w:color w:val="000000"/>
          <w:sz w:val="28"/>
          <w:szCs w:val="28"/>
          <w:lang w:eastAsia="uk-UA"/>
        </w:rPr>
      </w:pPr>
      <w:r w:rsidRPr="00B3094B">
        <w:rPr>
          <w:rFonts w:eastAsia="Calibri"/>
          <w:color w:val="000000"/>
          <w:sz w:val="28"/>
          <w:szCs w:val="28"/>
        </w:rPr>
        <w:t>«</w:t>
      </w:r>
      <w:r w:rsidR="009306F0" w:rsidRPr="00B3094B">
        <w:rPr>
          <w:color w:val="000000"/>
          <w:sz w:val="28"/>
          <w:szCs w:val="28"/>
        </w:rPr>
        <w:t xml:space="preserve">Послуги </w:t>
      </w:r>
      <w:proofErr w:type="spellStart"/>
      <w:r w:rsidR="009306F0" w:rsidRPr="00B3094B">
        <w:rPr>
          <w:color w:val="000000"/>
          <w:sz w:val="28"/>
          <w:szCs w:val="28"/>
        </w:rPr>
        <w:t>інтернет-провайдерів</w:t>
      </w:r>
      <w:proofErr w:type="spellEnd"/>
      <w:r w:rsidR="009306F0" w:rsidRPr="00B3094B">
        <w:rPr>
          <w:color w:val="000000"/>
          <w:sz w:val="28"/>
          <w:szCs w:val="28"/>
        </w:rPr>
        <w:t xml:space="preserve"> за користування Інтернетом</w:t>
      </w:r>
      <w:r w:rsidR="00366F62" w:rsidRPr="00B3094B">
        <w:rPr>
          <w:color w:val="000000"/>
          <w:sz w:val="28"/>
          <w:szCs w:val="28"/>
          <w:lang w:eastAsia="uk-UA"/>
        </w:rPr>
        <w:t xml:space="preserve"> </w:t>
      </w:r>
      <w:r w:rsidR="00107AEC" w:rsidRPr="00B3094B">
        <w:rPr>
          <w:rFonts w:eastAsia="Calibri"/>
          <w:color w:val="000000"/>
          <w:sz w:val="28"/>
          <w:szCs w:val="28"/>
        </w:rPr>
        <w:t>»</w:t>
      </w:r>
      <w:r w:rsidRPr="00B3094B">
        <w:rPr>
          <w:rFonts w:eastAsia="Calibri"/>
          <w:color w:val="000000"/>
          <w:sz w:val="28"/>
          <w:szCs w:val="28"/>
        </w:rPr>
        <w:t xml:space="preserve"> за кодом ДК </w:t>
      </w:r>
      <w:r w:rsidR="009306F0" w:rsidRPr="00B3094B">
        <w:rPr>
          <w:rFonts w:eastAsia="Dotum"/>
          <w:bCs/>
          <w:color w:val="000000"/>
          <w:sz w:val="28"/>
          <w:szCs w:val="28"/>
        </w:rPr>
        <w:t>021:2015 – 72410000-7-Послуги провайдерів</w:t>
      </w:r>
      <w:r w:rsidR="00614053" w:rsidRPr="00B3094B">
        <w:rPr>
          <w:rFonts w:eastAsia="Calibri"/>
          <w:color w:val="000000"/>
          <w:sz w:val="28"/>
          <w:szCs w:val="28"/>
        </w:rPr>
        <w:t>.</w:t>
      </w:r>
      <w:r w:rsidRPr="00B3094B">
        <w:rPr>
          <w:rFonts w:eastAsia="Calibri"/>
          <w:color w:val="000000"/>
          <w:sz w:val="28"/>
          <w:szCs w:val="28"/>
        </w:rPr>
        <w:t xml:space="preserve"> </w:t>
      </w:r>
    </w:p>
    <w:p w:rsidR="00B661EC" w:rsidRPr="00B3094B" w:rsidRDefault="006E0648" w:rsidP="00EE2B3B">
      <w:pPr>
        <w:ind w:firstLine="567"/>
        <w:contextualSpacing/>
        <w:jc w:val="both"/>
        <w:rPr>
          <w:b/>
          <w:sz w:val="28"/>
          <w:szCs w:val="28"/>
        </w:rPr>
      </w:pPr>
      <w:r w:rsidRPr="00B3094B">
        <w:rPr>
          <w:b/>
          <w:sz w:val="28"/>
          <w:szCs w:val="28"/>
        </w:rPr>
        <w:t>3. Ідентифікатор</w:t>
      </w:r>
      <w:r w:rsidR="007C2BD8" w:rsidRPr="00B3094B">
        <w:rPr>
          <w:b/>
          <w:sz w:val="28"/>
          <w:szCs w:val="28"/>
        </w:rPr>
        <w:t>и</w:t>
      </w:r>
      <w:r w:rsidRPr="00B3094B">
        <w:rPr>
          <w:b/>
          <w:sz w:val="28"/>
          <w:szCs w:val="28"/>
        </w:rPr>
        <w:t xml:space="preserve"> закупів</w:t>
      </w:r>
      <w:r w:rsidR="007C2BD8" w:rsidRPr="00B3094B">
        <w:rPr>
          <w:b/>
          <w:sz w:val="28"/>
          <w:szCs w:val="28"/>
        </w:rPr>
        <w:t>ель</w:t>
      </w:r>
      <w:r w:rsidRPr="00B3094B">
        <w:rPr>
          <w:b/>
          <w:sz w:val="28"/>
          <w:szCs w:val="28"/>
        </w:rPr>
        <w:t>: —</w:t>
      </w:r>
      <w:r w:rsidR="00366F62" w:rsidRPr="00B3094B">
        <w:t> </w:t>
      </w:r>
      <w:r w:rsidR="00B3094B" w:rsidRPr="00B3094B">
        <w:t>UA-2025-12-19-018546-a</w:t>
      </w:r>
    </w:p>
    <w:p w:rsidR="00B661EC" w:rsidRPr="00B3094B" w:rsidRDefault="00A0247F" w:rsidP="007919B9">
      <w:pPr>
        <w:ind w:firstLine="567"/>
        <w:contextualSpacing/>
        <w:jc w:val="both"/>
        <w:rPr>
          <w:color w:val="000000" w:themeColor="text1"/>
          <w:sz w:val="28"/>
          <w:szCs w:val="28"/>
        </w:rPr>
      </w:pPr>
      <w:r w:rsidRPr="00B3094B">
        <w:rPr>
          <w:b/>
          <w:sz w:val="28"/>
          <w:szCs w:val="28"/>
        </w:rPr>
        <w:t xml:space="preserve">4. </w:t>
      </w:r>
      <w:r w:rsidRPr="00B3094B">
        <w:rPr>
          <w:b/>
          <w:color w:val="000000" w:themeColor="text1"/>
          <w:sz w:val="28"/>
          <w:szCs w:val="28"/>
        </w:rPr>
        <w:t>Обґрунтування технічних та якісних характеристик предмета закупівлі:</w:t>
      </w:r>
      <w:r w:rsidRPr="00B3094B">
        <w:rPr>
          <w:color w:val="000000" w:themeColor="text1"/>
        </w:rPr>
        <w:t xml:space="preserve"> </w:t>
      </w:r>
      <w:r w:rsidRPr="00B3094B">
        <w:rPr>
          <w:color w:val="000000" w:themeColor="text1"/>
          <w:sz w:val="28"/>
          <w:szCs w:val="28"/>
        </w:rPr>
        <w:t>технічні та якісні характеристики предмета закупівлі визначені відповідно до потреб замовника</w:t>
      </w:r>
      <w:r w:rsidR="00B661EC" w:rsidRPr="00B3094B">
        <w:rPr>
          <w:color w:val="000000" w:themeColor="text1"/>
          <w:sz w:val="28"/>
          <w:szCs w:val="28"/>
        </w:rPr>
        <w:t>, а саме:</w:t>
      </w:r>
    </w:p>
    <w:tbl>
      <w:tblPr>
        <w:tblpPr w:leftFromText="180" w:rightFromText="180" w:vertAnchor="text" w:horzAnchor="margin" w:tblpXSpec="center" w:tblpY="27"/>
        <w:tblW w:w="9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827"/>
        <w:gridCol w:w="2740"/>
        <w:gridCol w:w="1729"/>
      </w:tblGrid>
      <w:tr w:rsidR="00B3094B" w:rsidRPr="00B3094B" w:rsidTr="009D7D96">
        <w:trPr>
          <w:trHeight w:val="592"/>
          <w:jc w:val="center"/>
        </w:trPr>
        <w:tc>
          <w:tcPr>
            <w:tcW w:w="959" w:type="dxa"/>
            <w:shd w:val="clear" w:color="auto" w:fill="auto"/>
            <w:noWrap/>
            <w:vAlign w:val="center"/>
            <w:hideMark/>
          </w:tcPr>
          <w:p w:rsidR="00B3094B" w:rsidRPr="00B3094B" w:rsidRDefault="00B3094B" w:rsidP="00B3094B">
            <w:pPr>
              <w:jc w:val="center"/>
              <w:rPr>
                <w:b/>
                <w:bCs/>
                <w:lang w:eastAsia="en-US"/>
              </w:rPr>
            </w:pPr>
            <w:r w:rsidRPr="00B3094B">
              <w:rPr>
                <w:b/>
                <w:bCs/>
                <w:lang w:eastAsia="en-US"/>
              </w:rPr>
              <w:t>№</w:t>
            </w:r>
          </w:p>
        </w:tc>
        <w:tc>
          <w:tcPr>
            <w:tcW w:w="3827" w:type="dxa"/>
            <w:shd w:val="clear" w:color="auto" w:fill="auto"/>
            <w:noWrap/>
            <w:vAlign w:val="center"/>
            <w:hideMark/>
          </w:tcPr>
          <w:p w:rsidR="00B3094B" w:rsidRPr="00B3094B" w:rsidRDefault="00B3094B" w:rsidP="00B3094B">
            <w:pPr>
              <w:jc w:val="center"/>
              <w:rPr>
                <w:b/>
                <w:lang w:eastAsia="en-US"/>
              </w:rPr>
            </w:pPr>
            <w:r w:rsidRPr="00B3094B">
              <w:rPr>
                <w:b/>
                <w:lang w:eastAsia="en-US"/>
              </w:rPr>
              <w:t>Адреси</w:t>
            </w:r>
          </w:p>
        </w:tc>
        <w:tc>
          <w:tcPr>
            <w:tcW w:w="2740" w:type="dxa"/>
            <w:shd w:val="clear" w:color="auto" w:fill="auto"/>
            <w:vAlign w:val="center"/>
            <w:hideMark/>
          </w:tcPr>
          <w:p w:rsidR="00B3094B" w:rsidRPr="00B3094B" w:rsidRDefault="00B3094B" w:rsidP="00B3094B">
            <w:pPr>
              <w:jc w:val="center"/>
              <w:rPr>
                <w:b/>
                <w:lang w:eastAsia="en-US"/>
              </w:rPr>
            </w:pPr>
            <w:r w:rsidRPr="00B3094B">
              <w:rPr>
                <w:rFonts w:eastAsia="MS Mincho"/>
                <w:b/>
                <w:lang w:eastAsia="ja-JP"/>
              </w:rPr>
              <w:t xml:space="preserve"> </w:t>
            </w:r>
            <w:r w:rsidRPr="00B3094B">
              <w:rPr>
                <w:b/>
                <w:lang w:eastAsia="uk-UA"/>
              </w:rPr>
              <w:t xml:space="preserve">Фізична адреса розташування </w:t>
            </w:r>
          </w:p>
        </w:tc>
        <w:tc>
          <w:tcPr>
            <w:tcW w:w="1729" w:type="dxa"/>
            <w:shd w:val="clear" w:color="auto" w:fill="auto"/>
            <w:vAlign w:val="center"/>
            <w:hideMark/>
          </w:tcPr>
          <w:p w:rsidR="00B3094B" w:rsidRPr="00B3094B" w:rsidRDefault="00B3094B" w:rsidP="00B3094B">
            <w:pPr>
              <w:jc w:val="center"/>
              <w:rPr>
                <w:b/>
                <w:lang w:eastAsia="en-US"/>
              </w:rPr>
            </w:pPr>
            <w:r w:rsidRPr="00B3094B">
              <w:rPr>
                <w:b/>
                <w:lang w:eastAsia="uk-UA"/>
              </w:rPr>
              <w:t xml:space="preserve">Пропускна спроможність на порту </w:t>
            </w:r>
            <w:proofErr w:type="spellStart"/>
            <w:r w:rsidRPr="00B3094B">
              <w:rPr>
                <w:b/>
                <w:lang w:eastAsia="uk-UA"/>
              </w:rPr>
              <w:t>маршрути-</w:t>
            </w:r>
            <w:proofErr w:type="spellEnd"/>
            <w:r w:rsidRPr="00B3094B">
              <w:rPr>
                <w:b/>
                <w:lang w:eastAsia="uk-UA"/>
              </w:rPr>
              <w:t xml:space="preserve"> </w:t>
            </w:r>
            <w:proofErr w:type="spellStart"/>
            <w:r w:rsidRPr="00B3094B">
              <w:rPr>
                <w:b/>
                <w:lang w:eastAsia="uk-UA"/>
              </w:rPr>
              <w:t>затора</w:t>
            </w:r>
            <w:proofErr w:type="spellEnd"/>
            <w:r w:rsidRPr="00B3094B">
              <w:rPr>
                <w:b/>
                <w:lang w:eastAsia="uk-UA"/>
              </w:rPr>
              <w:t xml:space="preserve"> </w:t>
            </w:r>
            <w:proofErr w:type="spellStart"/>
            <w:r w:rsidRPr="00B3094B">
              <w:rPr>
                <w:b/>
                <w:lang w:eastAsia="uk-UA"/>
              </w:rPr>
              <w:t>Мбіт</w:t>
            </w:r>
            <w:proofErr w:type="spellEnd"/>
            <w:r w:rsidRPr="00B3094B">
              <w:rPr>
                <w:b/>
                <w:lang w:eastAsia="uk-UA"/>
              </w:rPr>
              <w:t>/с</w:t>
            </w:r>
          </w:p>
        </w:tc>
      </w:tr>
      <w:tr w:rsidR="00B3094B" w:rsidRPr="00B3094B" w:rsidTr="009D7D96">
        <w:trPr>
          <w:trHeight w:val="325"/>
          <w:jc w:val="center"/>
        </w:trPr>
        <w:tc>
          <w:tcPr>
            <w:tcW w:w="959" w:type="dxa"/>
            <w:shd w:val="clear" w:color="auto" w:fill="auto"/>
            <w:noWrap/>
            <w:vAlign w:val="center"/>
            <w:hideMark/>
          </w:tcPr>
          <w:p w:rsidR="00B3094B" w:rsidRPr="00B3094B" w:rsidRDefault="00B3094B" w:rsidP="00B3094B">
            <w:pPr>
              <w:jc w:val="center"/>
              <w:rPr>
                <w:color w:val="000000"/>
                <w:lang w:eastAsia="en-US"/>
              </w:rPr>
            </w:pPr>
            <w:r w:rsidRPr="00B3094B">
              <w:rPr>
                <w:color w:val="000000"/>
                <w:lang w:eastAsia="en-US"/>
              </w:rPr>
              <w:t>1.1</w:t>
            </w:r>
          </w:p>
        </w:tc>
        <w:tc>
          <w:tcPr>
            <w:tcW w:w="3827" w:type="dxa"/>
            <w:shd w:val="clear" w:color="auto" w:fill="auto"/>
            <w:vAlign w:val="center"/>
            <w:hideMark/>
          </w:tcPr>
          <w:p w:rsidR="00B3094B" w:rsidRPr="00B3094B" w:rsidRDefault="00B3094B" w:rsidP="00B3094B">
            <w:pPr>
              <w:rPr>
                <w:rFonts w:eastAsia="MS Mincho"/>
                <w:lang w:eastAsia="ja-JP"/>
              </w:rPr>
            </w:pPr>
            <w:r w:rsidRPr="00B3094B">
              <w:rPr>
                <w:rFonts w:eastAsia="MS Mincho"/>
                <w:lang w:eastAsia="ja-JP"/>
              </w:rPr>
              <w:t xml:space="preserve">Громадська будівля </w:t>
            </w:r>
          </w:p>
          <w:p w:rsidR="00B3094B" w:rsidRPr="00B3094B" w:rsidRDefault="00B3094B" w:rsidP="00B3094B">
            <w:pPr>
              <w:rPr>
                <w:color w:val="000000"/>
                <w:lang w:eastAsia="en-US"/>
              </w:rPr>
            </w:pPr>
            <w:r w:rsidRPr="00B3094B">
              <w:rPr>
                <w:rFonts w:eastAsia="MS Mincho"/>
                <w:lang w:eastAsia="ja-JP"/>
              </w:rPr>
              <w:t>Сумської митниці</w:t>
            </w:r>
          </w:p>
        </w:tc>
        <w:tc>
          <w:tcPr>
            <w:tcW w:w="2740" w:type="dxa"/>
            <w:shd w:val="clear" w:color="000000" w:fill="FFFFFF"/>
            <w:vAlign w:val="center"/>
            <w:hideMark/>
          </w:tcPr>
          <w:p w:rsidR="00B3094B" w:rsidRPr="00B3094B" w:rsidRDefault="00B3094B" w:rsidP="00B3094B">
            <w:pPr>
              <w:jc w:val="center"/>
              <w:rPr>
                <w:color w:val="000000"/>
                <w:lang w:eastAsia="en-US"/>
              </w:rPr>
            </w:pPr>
            <w:r w:rsidRPr="00B3094B">
              <w:rPr>
                <w:rFonts w:eastAsia="MS Mincho"/>
                <w:lang w:eastAsia="ja-JP"/>
              </w:rPr>
              <w:t>Сумська обл., м. Суми, вул. Юрія Вєтрова, 24.</w:t>
            </w:r>
          </w:p>
        </w:tc>
        <w:tc>
          <w:tcPr>
            <w:tcW w:w="1729" w:type="dxa"/>
            <w:shd w:val="clear" w:color="000000" w:fill="FFFFFF"/>
            <w:vAlign w:val="center"/>
          </w:tcPr>
          <w:p w:rsidR="00B3094B" w:rsidRPr="00B3094B" w:rsidRDefault="00B3094B" w:rsidP="00B3094B">
            <w:pPr>
              <w:jc w:val="center"/>
              <w:rPr>
                <w:color w:val="000000"/>
                <w:lang w:eastAsia="en-US"/>
              </w:rPr>
            </w:pPr>
            <w:r w:rsidRPr="00B3094B">
              <w:rPr>
                <w:color w:val="000000"/>
                <w:lang w:eastAsia="en-US"/>
              </w:rPr>
              <w:t>40-100</w:t>
            </w:r>
          </w:p>
        </w:tc>
      </w:tr>
      <w:tr w:rsidR="00B3094B" w:rsidRPr="00B3094B" w:rsidTr="009D7D96">
        <w:trPr>
          <w:trHeight w:val="325"/>
          <w:jc w:val="center"/>
        </w:trPr>
        <w:tc>
          <w:tcPr>
            <w:tcW w:w="959" w:type="dxa"/>
            <w:shd w:val="clear" w:color="auto" w:fill="auto"/>
            <w:noWrap/>
            <w:vAlign w:val="center"/>
            <w:hideMark/>
          </w:tcPr>
          <w:p w:rsidR="00B3094B" w:rsidRPr="00B3094B" w:rsidRDefault="00B3094B" w:rsidP="00B3094B">
            <w:pPr>
              <w:jc w:val="center"/>
              <w:rPr>
                <w:color w:val="000000"/>
                <w:lang w:eastAsia="en-US"/>
              </w:rPr>
            </w:pPr>
            <w:r w:rsidRPr="00B3094B">
              <w:rPr>
                <w:color w:val="000000"/>
                <w:lang w:eastAsia="en-US"/>
              </w:rPr>
              <w:t>1.2</w:t>
            </w:r>
          </w:p>
        </w:tc>
        <w:tc>
          <w:tcPr>
            <w:tcW w:w="3827" w:type="dxa"/>
            <w:shd w:val="clear" w:color="auto" w:fill="auto"/>
            <w:vAlign w:val="center"/>
            <w:hideMark/>
          </w:tcPr>
          <w:p w:rsidR="00B3094B" w:rsidRPr="00B3094B" w:rsidRDefault="00B3094B" w:rsidP="00B3094B">
            <w:pPr>
              <w:rPr>
                <w:color w:val="000000"/>
                <w:lang w:eastAsia="en-US"/>
              </w:rPr>
            </w:pPr>
            <w:r w:rsidRPr="00B3094B">
              <w:rPr>
                <w:rFonts w:eastAsia="MS Mincho"/>
                <w:lang w:eastAsia="ja-JP"/>
              </w:rPr>
              <w:t>Митний пост "Конотоп"</w:t>
            </w:r>
          </w:p>
        </w:tc>
        <w:tc>
          <w:tcPr>
            <w:tcW w:w="2740" w:type="dxa"/>
            <w:shd w:val="clear" w:color="000000" w:fill="FFFFFF"/>
            <w:vAlign w:val="center"/>
            <w:hideMark/>
          </w:tcPr>
          <w:p w:rsidR="00B3094B" w:rsidRPr="00B3094B" w:rsidRDefault="00B3094B" w:rsidP="00B3094B">
            <w:pPr>
              <w:jc w:val="center"/>
              <w:rPr>
                <w:rFonts w:eastAsia="MS Mincho"/>
                <w:lang w:eastAsia="ja-JP"/>
              </w:rPr>
            </w:pPr>
            <w:r w:rsidRPr="00B3094B">
              <w:rPr>
                <w:rFonts w:eastAsia="MS Mincho"/>
                <w:lang w:eastAsia="ja-JP"/>
              </w:rPr>
              <w:t xml:space="preserve">Сумська обл., </w:t>
            </w:r>
          </w:p>
          <w:p w:rsidR="00B3094B" w:rsidRPr="00B3094B" w:rsidRDefault="00B3094B" w:rsidP="00B3094B">
            <w:pPr>
              <w:jc w:val="center"/>
              <w:rPr>
                <w:rFonts w:eastAsia="MS Mincho"/>
                <w:lang w:eastAsia="ja-JP"/>
              </w:rPr>
            </w:pPr>
            <w:r w:rsidRPr="00B3094B">
              <w:rPr>
                <w:rFonts w:eastAsia="MS Mincho"/>
                <w:lang w:eastAsia="ja-JP"/>
              </w:rPr>
              <w:t xml:space="preserve">м. Конотоп, </w:t>
            </w:r>
          </w:p>
          <w:p w:rsidR="00B3094B" w:rsidRPr="00B3094B" w:rsidRDefault="00B3094B" w:rsidP="00B3094B">
            <w:pPr>
              <w:jc w:val="center"/>
              <w:rPr>
                <w:color w:val="000000"/>
                <w:lang w:eastAsia="en-US"/>
              </w:rPr>
            </w:pPr>
            <w:r w:rsidRPr="00B3094B">
              <w:rPr>
                <w:rFonts w:eastAsia="MS Mincho"/>
                <w:lang w:eastAsia="ja-JP"/>
              </w:rPr>
              <w:t>проспект Миру,91.</w:t>
            </w:r>
          </w:p>
        </w:tc>
        <w:tc>
          <w:tcPr>
            <w:tcW w:w="1729" w:type="dxa"/>
            <w:shd w:val="clear" w:color="000000" w:fill="FFFFFF"/>
            <w:vAlign w:val="center"/>
          </w:tcPr>
          <w:p w:rsidR="00B3094B" w:rsidRPr="00B3094B" w:rsidRDefault="00B3094B" w:rsidP="00B3094B">
            <w:pPr>
              <w:jc w:val="center"/>
              <w:rPr>
                <w:color w:val="000000"/>
                <w:lang w:eastAsia="en-US"/>
              </w:rPr>
            </w:pPr>
            <w:r w:rsidRPr="00B3094B">
              <w:rPr>
                <w:color w:val="000000"/>
                <w:lang w:eastAsia="en-US"/>
              </w:rPr>
              <w:t>20</w:t>
            </w:r>
          </w:p>
        </w:tc>
      </w:tr>
      <w:tr w:rsidR="00B3094B" w:rsidRPr="00B3094B" w:rsidTr="009D7D96">
        <w:trPr>
          <w:trHeight w:val="325"/>
          <w:jc w:val="center"/>
        </w:trPr>
        <w:tc>
          <w:tcPr>
            <w:tcW w:w="959" w:type="dxa"/>
            <w:shd w:val="clear" w:color="auto" w:fill="auto"/>
            <w:noWrap/>
            <w:vAlign w:val="center"/>
            <w:hideMark/>
          </w:tcPr>
          <w:p w:rsidR="00B3094B" w:rsidRPr="00B3094B" w:rsidRDefault="00B3094B" w:rsidP="00B3094B">
            <w:pPr>
              <w:jc w:val="center"/>
              <w:rPr>
                <w:color w:val="000000"/>
                <w:lang w:eastAsia="en-US"/>
              </w:rPr>
            </w:pPr>
            <w:r w:rsidRPr="00B3094B">
              <w:rPr>
                <w:color w:val="000000"/>
                <w:lang w:eastAsia="en-US"/>
              </w:rPr>
              <w:t>1.3</w:t>
            </w:r>
          </w:p>
        </w:tc>
        <w:tc>
          <w:tcPr>
            <w:tcW w:w="3827" w:type="dxa"/>
            <w:shd w:val="clear" w:color="auto" w:fill="auto"/>
            <w:vAlign w:val="center"/>
            <w:hideMark/>
          </w:tcPr>
          <w:p w:rsidR="00B3094B" w:rsidRPr="00B3094B" w:rsidRDefault="00B3094B" w:rsidP="00B3094B">
            <w:pPr>
              <w:rPr>
                <w:color w:val="000000"/>
                <w:lang w:eastAsia="en-US"/>
              </w:rPr>
            </w:pPr>
            <w:proofErr w:type="spellStart"/>
            <w:r w:rsidRPr="00B3094B">
              <w:rPr>
                <w:rFonts w:eastAsia="MS Mincho"/>
                <w:lang w:eastAsia="ja-JP"/>
              </w:rPr>
              <w:t>Адмінприміщення</w:t>
            </w:r>
            <w:proofErr w:type="spellEnd"/>
            <w:r w:rsidRPr="00B3094B">
              <w:rPr>
                <w:rFonts w:eastAsia="MS Mincho"/>
                <w:lang w:eastAsia="ja-JP"/>
              </w:rPr>
              <w:t xml:space="preserve"> Сумської митниці</w:t>
            </w:r>
          </w:p>
        </w:tc>
        <w:tc>
          <w:tcPr>
            <w:tcW w:w="2740" w:type="dxa"/>
            <w:shd w:val="clear" w:color="000000" w:fill="FFFFFF"/>
            <w:vAlign w:val="center"/>
            <w:hideMark/>
          </w:tcPr>
          <w:p w:rsidR="00B3094B" w:rsidRPr="00B3094B" w:rsidRDefault="00B3094B" w:rsidP="00B3094B">
            <w:pPr>
              <w:jc w:val="center"/>
              <w:rPr>
                <w:color w:val="000000"/>
                <w:lang w:eastAsia="en-US"/>
              </w:rPr>
            </w:pPr>
            <w:r w:rsidRPr="00B3094B">
              <w:rPr>
                <w:rFonts w:eastAsia="MS Mincho"/>
                <w:lang w:eastAsia="ja-JP"/>
              </w:rPr>
              <w:t>Сумська обл., м. Суми, вул. Бельгійська, 9.</w:t>
            </w:r>
          </w:p>
        </w:tc>
        <w:tc>
          <w:tcPr>
            <w:tcW w:w="1729" w:type="dxa"/>
            <w:shd w:val="clear" w:color="000000" w:fill="FFFFFF"/>
            <w:vAlign w:val="center"/>
          </w:tcPr>
          <w:p w:rsidR="00B3094B" w:rsidRPr="00B3094B" w:rsidRDefault="00B3094B" w:rsidP="00B3094B">
            <w:pPr>
              <w:jc w:val="center"/>
              <w:rPr>
                <w:color w:val="000000"/>
                <w:lang w:eastAsia="en-US"/>
              </w:rPr>
            </w:pPr>
            <w:r w:rsidRPr="00B3094B">
              <w:rPr>
                <w:color w:val="000000"/>
                <w:lang w:eastAsia="en-US"/>
              </w:rPr>
              <w:t>20</w:t>
            </w:r>
          </w:p>
        </w:tc>
      </w:tr>
    </w:tbl>
    <w:p w:rsidR="00B3094B" w:rsidRPr="00B3094B" w:rsidRDefault="00B3094B" w:rsidP="00B3094B">
      <w:pPr>
        <w:ind w:firstLine="567"/>
        <w:contextualSpacing/>
        <w:jc w:val="both"/>
        <w:rPr>
          <w:rFonts w:eastAsia="Calibri"/>
          <w:color w:val="000000"/>
          <w:kern w:val="3"/>
          <w:sz w:val="28"/>
          <w:szCs w:val="28"/>
          <w:lang w:eastAsia="uk-UA"/>
        </w:rPr>
      </w:pPr>
      <w:r w:rsidRPr="00B3094B">
        <w:rPr>
          <w:rFonts w:eastAsia="Calibri"/>
          <w:color w:val="000000"/>
          <w:kern w:val="3"/>
          <w:sz w:val="28"/>
          <w:szCs w:val="28"/>
          <w:lang w:eastAsia="uk-UA"/>
        </w:rPr>
        <w:t>Загальні вимоги:</w:t>
      </w:r>
    </w:p>
    <w:p w:rsidR="00B3094B" w:rsidRPr="00B3094B" w:rsidRDefault="00B3094B" w:rsidP="00B3094B">
      <w:pPr>
        <w:ind w:firstLine="567"/>
        <w:contextualSpacing/>
        <w:jc w:val="both"/>
        <w:rPr>
          <w:rFonts w:eastAsia="Calibri"/>
          <w:color w:val="000000"/>
          <w:kern w:val="3"/>
          <w:sz w:val="28"/>
          <w:szCs w:val="28"/>
          <w:lang w:eastAsia="uk-UA"/>
        </w:rPr>
      </w:pPr>
      <w:r w:rsidRPr="00B3094B">
        <w:rPr>
          <w:rFonts w:eastAsia="Calibri"/>
          <w:color w:val="000000"/>
          <w:kern w:val="3"/>
          <w:sz w:val="28"/>
          <w:szCs w:val="28"/>
          <w:lang w:eastAsia="uk-UA"/>
        </w:rPr>
        <w:t>Послуги повинні надаватися відповідно до чинних в Україні законодавчих та нормативних актів, зокрема:</w:t>
      </w:r>
    </w:p>
    <w:p w:rsidR="00B3094B" w:rsidRPr="00B3094B" w:rsidRDefault="00B3094B" w:rsidP="00B3094B">
      <w:pPr>
        <w:ind w:firstLine="567"/>
        <w:contextualSpacing/>
        <w:jc w:val="both"/>
        <w:rPr>
          <w:rFonts w:eastAsia="Calibri"/>
          <w:color w:val="000000"/>
          <w:kern w:val="3"/>
          <w:sz w:val="28"/>
          <w:szCs w:val="28"/>
          <w:lang w:eastAsia="uk-UA"/>
        </w:rPr>
      </w:pPr>
      <w:r w:rsidRPr="00B3094B">
        <w:rPr>
          <w:rFonts w:eastAsia="Calibri"/>
          <w:color w:val="000000"/>
          <w:kern w:val="3"/>
          <w:sz w:val="28"/>
          <w:szCs w:val="28"/>
          <w:lang w:eastAsia="uk-UA"/>
        </w:rPr>
        <w:t>– Закону України «Про електронні комунікації»;</w:t>
      </w:r>
    </w:p>
    <w:p w:rsidR="00B3094B" w:rsidRPr="00B3094B" w:rsidRDefault="00B3094B" w:rsidP="00B3094B">
      <w:pPr>
        <w:ind w:firstLine="567"/>
        <w:contextualSpacing/>
        <w:jc w:val="both"/>
        <w:rPr>
          <w:rFonts w:eastAsia="Calibri"/>
          <w:color w:val="000000"/>
          <w:kern w:val="3"/>
          <w:sz w:val="28"/>
          <w:szCs w:val="28"/>
          <w:lang w:eastAsia="uk-UA"/>
        </w:rPr>
      </w:pPr>
      <w:r w:rsidRPr="00B3094B">
        <w:rPr>
          <w:rFonts w:eastAsia="Calibri"/>
          <w:color w:val="000000"/>
          <w:kern w:val="3"/>
          <w:sz w:val="28"/>
          <w:szCs w:val="28"/>
          <w:lang w:eastAsia="uk-UA"/>
        </w:rPr>
        <w:t xml:space="preserve">– Указу Президента України «Про деякі заходи щодо захисту державних  інформаційних ресурсів у мережах передачі даних» від 24.09.2001 № 891; </w:t>
      </w:r>
    </w:p>
    <w:p w:rsidR="00B3094B" w:rsidRPr="00B3094B" w:rsidRDefault="00B3094B" w:rsidP="00B3094B">
      <w:pPr>
        <w:ind w:firstLine="567"/>
        <w:contextualSpacing/>
        <w:jc w:val="both"/>
        <w:rPr>
          <w:rFonts w:eastAsia="Calibri"/>
          <w:color w:val="000000"/>
          <w:kern w:val="3"/>
          <w:sz w:val="28"/>
          <w:szCs w:val="28"/>
          <w:lang w:eastAsia="uk-UA"/>
        </w:rPr>
      </w:pPr>
      <w:r w:rsidRPr="00B3094B">
        <w:rPr>
          <w:rFonts w:eastAsia="Calibri"/>
          <w:color w:val="000000"/>
          <w:kern w:val="3"/>
          <w:sz w:val="28"/>
          <w:szCs w:val="28"/>
          <w:lang w:eastAsia="uk-UA"/>
        </w:rPr>
        <w:t>– Порядку координації діяльності органів державної влади, органів місцевого самоврядування, військових формувань, підприємств, установ і організацій незалежно від форм власності з питань запобігання, виявлення та усунення наслідків несанкціонованих дій щодо державних інформаційних ресурсів в інформаційних, телекомунікаційних та інформаційно-</w:t>
      </w:r>
      <w:r w:rsidRPr="00B3094B">
        <w:rPr>
          <w:rFonts w:eastAsia="Calibri"/>
          <w:color w:val="000000"/>
          <w:kern w:val="3"/>
          <w:sz w:val="28"/>
          <w:szCs w:val="28"/>
          <w:lang w:eastAsia="uk-UA"/>
        </w:rPr>
        <w:lastRenderedPageBreak/>
        <w:t xml:space="preserve">телекомунікаційних системах, затвердженого наказом Адміністрації </w:t>
      </w:r>
      <w:proofErr w:type="spellStart"/>
      <w:r w:rsidRPr="00B3094B">
        <w:rPr>
          <w:rFonts w:eastAsia="Calibri"/>
          <w:color w:val="000000"/>
          <w:kern w:val="3"/>
          <w:sz w:val="28"/>
          <w:szCs w:val="28"/>
          <w:lang w:eastAsia="uk-UA"/>
        </w:rPr>
        <w:t>Держспецзв'язку</w:t>
      </w:r>
      <w:proofErr w:type="spellEnd"/>
      <w:r w:rsidRPr="00B3094B">
        <w:rPr>
          <w:rFonts w:eastAsia="Calibri"/>
          <w:color w:val="000000"/>
          <w:kern w:val="3"/>
          <w:sz w:val="28"/>
          <w:szCs w:val="28"/>
          <w:lang w:eastAsia="uk-UA"/>
        </w:rPr>
        <w:t xml:space="preserve"> від 10.06.2008 № 94, зареєстрованого в Міністерстві юстиції України 07 липня 2008 року за № 603/15294;</w:t>
      </w:r>
    </w:p>
    <w:p w:rsidR="00B3094B" w:rsidRPr="00B3094B" w:rsidRDefault="00B3094B" w:rsidP="00B3094B">
      <w:pPr>
        <w:ind w:firstLine="567"/>
        <w:contextualSpacing/>
        <w:jc w:val="both"/>
        <w:rPr>
          <w:rFonts w:eastAsia="Calibri"/>
          <w:color w:val="000000"/>
          <w:kern w:val="3"/>
          <w:sz w:val="28"/>
          <w:szCs w:val="28"/>
          <w:lang w:eastAsia="uk-UA"/>
        </w:rPr>
      </w:pPr>
      <w:r w:rsidRPr="00B3094B">
        <w:rPr>
          <w:rFonts w:eastAsia="Calibri"/>
          <w:color w:val="000000"/>
          <w:kern w:val="3"/>
          <w:sz w:val="28"/>
          <w:szCs w:val="28"/>
          <w:lang w:eastAsia="uk-UA"/>
        </w:rPr>
        <w:t xml:space="preserve">– Правил надання та отримання телекомунікаційних послуг, затверджених постановою Кабінету Міністрів України від 11.04.2012 № 295 та інших нормативно-правових актів України у сфері </w:t>
      </w:r>
      <w:proofErr w:type="spellStart"/>
      <w:r w:rsidRPr="00B3094B">
        <w:rPr>
          <w:rFonts w:eastAsia="Calibri"/>
          <w:color w:val="000000"/>
          <w:kern w:val="3"/>
          <w:sz w:val="28"/>
          <w:szCs w:val="28"/>
          <w:lang w:eastAsia="uk-UA"/>
        </w:rPr>
        <w:t>телекомунікацій</w:t>
      </w:r>
      <w:proofErr w:type="spellEnd"/>
      <w:r w:rsidRPr="00B3094B">
        <w:rPr>
          <w:rFonts w:eastAsia="Calibri"/>
          <w:color w:val="000000"/>
          <w:kern w:val="3"/>
          <w:sz w:val="28"/>
          <w:szCs w:val="28"/>
          <w:lang w:eastAsia="uk-UA"/>
        </w:rPr>
        <w:t>.</w:t>
      </w:r>
    </w:p>
    <w:p w:rsidR="00B3094B" w:rsidRPr="00B3094B" w:rsidRDefault="00B3094B" w:rsidP="00B3094B">
      <w:pPr>
        <w:ind w:firstLine="567"/>
        <w:contextualSpacing/>
        <w:jc w:val="both"/>
        <w:rPr>
          <w:rFonts w:eastAsia="Calibri"/>
          <w:color w:val="000000"/>
          <w:kern w:val="3"/>
          <w:sz w:val="28"/>
          <w:szCs w:val="28"/>
          <w:lang w:eastAsia="uk-UA"/>
        </w:rPr>
      </w:pPr>
      <w:r w:rsidRPr="00B3094B">
        <w:rPr>
          <w:rFonts w:eastAsia="Calibri"/>
          <w:color w:val="000000"/>
          <w:kern w:val="3"/>
          <w:sz w:val="28"/>
          <w:szCs w:val="28"/>
          <w:lang w:eastAsia="uk-UA"/>
        </w:rPr>
        <w:t>- Цілодобовий захищений доступ до мережі Інтернет повинен надаватися через власний Захищений вузол Інтернет доступу (ЗВІД) Учасника, який повинен мати чинний атестат  відповідності із терміном дії до кінця військового стану або до 31.12.2026 року системи захисту інформації, зареєстрований в Адміністрації Державної служби спеціального зв’язку та захисту інформації України, на існуючу інформаційно-комунікаційну систему та складатись з основного та резервного комплексу, що належить Учаснику і розміщується фізично в різних областях України та/або населених пунктах (основний окремо від резервного), та відповідний Експертний висновок (або експертні висновки) до Атестату який є його невід’ємною частиною</w:t>
      </w:r>
    </w:p>
    <w:p w:rsidR="00B3094B" w:rsidRPr="00B3094B" w:rsidRDefault="00B3094B" w:rsidP="00B3094B">
      <w:pPr>
        <w:ind w:firstLine="567"/>
        <w:contextualSpacing/>
        <w:jc w:val="both"/>
        <w:rPr>
          <w:rFonts w:eastAsia="Calibri"/>
          <w:color w:val="000000"/>
          <w:kern w:val="3"/>
          <w:sz w:val="28"/>
          <w:szCs w:val="28"/>
          <w:lang w:eastAsia="uk-UA"/>
        </w:rPr>
      </w:pPr>
      <w:r w:rsidRPr="00B3094B">
        <w:rPr>
          <w:rFonts w:eastAsia="Calibri"/>
          <w:color w:val="000000"/>
          <w:kern w:val="3"/>
          <w:sz w:val="28"/>
          <w:szCs w:val="28"/>
          <w:lang w:eastAsia="uk-UA"/>
        </w:rPr>
        <w:t>На підтвердження відповідності тендерної пропозиції технічним, якісним, кількісним вимогам до предмета закупівлі, Учасником у складі тендерної пропозиції надається:</w:t>
      </w:r>
    </w:p>
    <w:p w:rsidR="00B3094B" w:rsidRPr="00B3094B" w:rsidRDefault="00B3094B" w:rsidP="00B3094B">
      <w:pPr>
        <w:ind w:firstLine="567"/>
        <w:contextualSpacing/>
        <w:jc w:val="both"/>
        <w:rPr>
          <w:rFonts w:eastAsia="Calibri"/>
          <w:color w:val="000000"/>
          <w:kern w:val="3"/>
          <w:sz w:val="28"/>
          <w:szCs w:val="28"/>
          <w:lang w:eastAsia="uk-UA"/>
        </w:rPr>
      </w:pPr>
    </w:p>
    <w:p w:rsidR="00B3094B" w:rsidRPr="00B3094B" w:rsidRDefault="00B3094B" w:rsidP="00B3094B">
      <w:pPr>
        <w:ind w:firstLine="567"/>
        <w:contextualSpacing/>
        <w:jc w:val="both"/>
        <w:rPr>
          <w:rFonts w:eastAsia="Calibri"/>
          <w:color w:val="000000"/>
          <w:kern w:val="3"/>
          <w:sz w:val="28"/>
          <w:szCs w:val="28"/>
          <w:lang w:eastAsia="uk-UA"/>
        </w:rPr>
      </w:pPr>
      <w:r w:rsidRPr="00B3094B">
        <w:rPr>
          <w:rFonts w:eastAsia="Calibri"/>
          <w:color w:val="000000"/>
          <w:kern w:val="3"/>
          <w:sz w:val="28"/>
          <w:szCs w:val="28"/>
          <w:lang w:eastAsia="uk-UA"/>
        </w:rPr>
        <w:t>1.</w:t>
      </w:r>
      <w:r w:rsidRPr="00B3094B">
        <w:rPr>
          <w:rFonts w:eastAsia="Calibri"/>
          <w:color w:val="000000"/>
          <w:kern w:val="3"/>
          <w:sz w:val="28"/>
          <w:szCs w:val="28"/>
          <w:lang w:eastAsia="uk-UA"/>
        </w:rPr>
        <w:tab/>
        <w:t>Учасник повинен мати власний Центр технічної підтримки, що працює в режимі: 24х7х365 (цілодобово (00:00-24:00) з понеділка по неділю включно, 365 днів на рік по телефону або через веб-сайт, або електронну пошту (e-</w:t>
      </w:r>
      <w:proofErr w:type="spellStart"/>
      <w:r w:rsidRPr="00B3094B">
        <w:rPr>
          <w:rFonts w:eastAsia="Calibri"/>
          <w:color w:val="000000"/>
          <w:kern w:val="3"/>
          <w:sz w:val="28"/>
          <w:szCs w:val="28"/>
          <w:lang w:eastAsia="uk-UA"/>
        </w:rPr>
        <w:t>mail</w:t>
      </w:r>
      <w:proofErr w:type="spellEnd"/>
      <w:r w:rsidRPr="00B3094B">
        <w:rPr>
          <w:rFonts w:eastAsia="Calibri"/>
          <w:color w:val="000000"/>
          <w:kern w:val="3"/>
          <w:sz w:val="28"/>
          <w:szCs w:val="28"/>
          <w:lang w:eastAsia="uk-UA"/>
        </w:rPr>
        <w:t>).</w:t>
      </w:r>
    </w:p>
    <w:p w:rsidR="00B3094B" w:rsidRPr="00B3094B" w:rsidRDefault="00B3094B" w:rsidP="00B3094B">
      <w:pPr>
        <w:ind w:firstLine="567"/>
        <w:contextualSpacing/>
        <w:jc w:val="both"/>
        <w:rPr>
          <w:rFonts w:eastAsia="Calibri"/>
          <w:color w:val="000000"/>
          <w:kern w:val="3"/>
          <w:sz w:val="28"/>
          <w:szCs w:val="28"/>
          <w:lang w:eastAsia="uk-UA"/>
        </w:rPr>
      </w:pPr>
      <w:r w:rsidRPr="00B3094B">
        <w:rPr>
          <w:rFonts w:eastAsia="Calibri"/>
          <w:color w:val="000000"/>
          <w:kern w:val="3"/>
          <w:sz w:val="28"/>
          <w:szCs w:val="28"/>
          <w:lang w:eastAsia="uk-UA"/>
        </w:rPr>
        <w:t>2.</w:t>
      </w:r>
      <w:r w:rsidRPr="00B3094B">
        <w:rPr>
          <w:rFonts w:eastAsia="Calibri"/>
          <w:color w:val="000000"/>
          <w:kern w:val="3"/>
          <w:sz w:val="28"/>
          <w:szCs w:val="28"/>
          <w:lang w:eastAsia="uk-UA"/>
        </w:rPr>
        <w:tab/>
        <w:t>Учасник має надати Замовнику контактні дані (службовий, мобільний телефон, електронна пошта, тощо) фахівців (не менше двох) відповідальних за надання послуг (у тому числі невідкладних).</w:t>
      </w:r>
    </w:p>
    <w:p w:rsidR="00B3094B" w:rsidRPr="00B3094B" w:rsidRDefault="00B3094B" w:rsidP="00B3094B">
      <w:pPr>
        <w:ind w:firstLine="567"/>
        <w:contextualSpacing/>
        <w:jc w:val="both"/>
        <w:rPr>
          <w:rFonts w:eastAsia="Calibri"/>
          <w:color w:val="000000"/>
          <w:kern w:val="3"/>
          <w:sz w:val="28"/>
          <w:szCs w:val="28"/>
          <w:lang w:eastAsia="uk-UA"/>
        </w:rPr>
      </w:pPr>
      <w:r w:rsidRPr="00B3094B">
        <w:rPr>
          <w:rFonts w:eastAsia="Calibri"/>
          <w:color w:val="000000"/>
          <w:kern w:val="3"/>
          <w:sz w:val="28"/>
          <w:szCs w:val="28"/>
          <w:lang w:eastAsia="uk-UA"/>
        </w:rPr>
        <w:t>3.</w:t>
      </w:r>
      <w:r w:rsidRPr="00B3094B">
        <w:rPr>
          <w:rFonts w:eastAsia="Calibri"/>
          <w:color w:val="000000"/>
          <w:kern w:val="3"/>
          <w:sz w:val="28"/>
          <w:szCs w:val="28"/>
          <w:lang w:eastAsia="uk-UA"/>
        </w:rPr>
        <w:tab/>
        <w:t>Учасник повинен здійснювати постійний моніторинг телекомунікаційних каналів зв’язку, виявлення та усунення причин відхилення від заданих технічних характеристик.</w:t>
      </w:r>
    </w:p>
    <w:p w:rsidR="00B3094B" w:rsidRPr="00B3094B" w:rsidRDefault="00B3094B" w:rsidP="00B3094B">
      <w:pPr>
        <w:ind w:firstLine="567"/>
        <w:contextualSpacing/>
        <w:jc w:val="both"/>
        <w:rPr>
          <w:rFonts w:eastAsia="Calibri"/>
          <w:color w:val="000000"/>
          <w:kern w:val="3"/>
          <w:sz w:val="28"/>
          <w:szCs w:val="28"/>
          <w:lang w:eastAsia="uk-UA"/>
        </w:rPr>
      </w:pPr>
      <w:r w:rsidRPr="00B3094B">
        <w:rPr>
          <w:rFonts w:eastAsia="Calibri"/>
          <w:color w:val="000000"/>
          <w:kern w:val="3"/>
          <w:sz w:val="28"/>
          <w:szCs w:val="28"/>
          <w:lang w:eastAsia="uk-UA"/>
        </w:rPr>
        <w:t>4.</w:t>
      </w:r>
      <w:r w:rsidRPr="00B3094B">
        <w:rPr>
          <w:rFonts w:eastAsia="Calibri"/>
          <w:color w:val="000000"/>
          <w:kern w:val="3"/>
          <w:sz w:val="28"/>
          <w:szCs w:val="28"/>
          <w:lang w:eastAsia="uk-UA"/>
        </w:rPr>
        <w:tab/>
        <w:t>Учасник повинен забезпечити усунення пошкоджень телекомунікаційної мережі та відновлення доступу до глобальної мережі у термін (далі - нормований час) відповідно до Показників якості послуг із передачі даних, доступу до Інтернету та їх рівнів, затверджених наказом Адміністрації Державної служби спеціального зв’язку та захисту інформації України від 28.12.2012 № 803 (зареєстрований в Міністерстві юстиції України 21.01.2013 за № 135/22667).</w:t>
      </w:r>
    </w:p>
    <w:p w:rsidR="00B3094B" w:rsidRPr="00B3094B" w:rsidRDefault="00B3094B" w:rsidP="00B3094B">
      <w:pPr>
        <w:ind w:firstLine="567"/>
        <w:contextualSpacing/>
        <w:jc w:val="both"/>
        <w:rPr>
          <w:rFonts w:eastAsia="Calibri"/>
          <w:color w:val="000000"/>
          <w:kern w:val="3"/>
          <w:sz w:val="28"/>
          <w:szCs w:val="28"/>
          <w:lang w:eastAsia="uk-UA"/>
        </w:rPr>
      </w:pPr>
      <w:r w:rsidRPr="00B3094B">
        <w:rPr>
          <w:rFonts w:eastAsia="Calibri"/>
          <w:color w:val="000000"/>
          <w:kern w:val="3"/>
          <w:sz w:val="28"/>
          <w:szCs w:val="28"/>
          <w:lang w:eastAsia="uk-UA"/>
        </w:rPr>
        <w:t>5.</w:t>
      </w:r>
      <w:r w:rsidRPr="00B3094B">
        <w:rPr>
          <w:rFonts w:eastAsia="Calibri"/>
          <w:color w:val="000000"/>
          <w:kern w:val="3"/>
          <w:sz w:val="28"/>
          <w:szCs w:val="28"/>
          <w:lang w:eastAsia="uk-UA"/>
        </w:rPr>
        <w:tab/>
        <w:t xml:space="preserve">На підтвердження відповідності системи захисту інформації власного Захищеного вузла Інтернет доступу (ЗВІД) встановленим вимогам у сфері захисту інформації, Учасник повинен надати копію чинного із терміном дії до кінця військового стану або до 31.12.2026 року атестату (або атестатів) відповідності комплексної системи захисту інформації, зареєстрованого в Адміністрації Державної служби спеціального зв’язку та захисту інформації України, на існуючу інформаційно-комунікаційну систему, що належить Учаснику та відповідний експертний висновок (або експертних висновків) до </w:t>
      </w:r>
      <w:r w:rsidRPr="00B3094B">
        <w:rPr>
          <w:rFonts w:eastAsia="Calibri"/>
          <w:color w:val="000000"/>
          <w:kern w:val="3"/>
          <w:sz w:val="28"/>
          <w:szCs w:val="28"/>
          <w:lang w:eastAsia="uk-UA"/>
        </w:rPr>
        <w:lastRenderedPageBreak/>
        <w:t>Атестату, що є його невід’ємною частиною. На підтвердження територіального рознесення основного та резервного комплексів КСЗІ ІКС, в Експертному висновку має міститись посилання на розміщення КСЗІ ІКС або мають бути зазначені населені пункти або області України розташування комплексів КСЗІ ІКС.</w:t>
      </w:r>
    </w:p>
    <w:p w:rsidR="00B3094B" w:rsidRPr="00B3094B" w:rsidRDefault="00B3094B" w:rsidP="00B3094B">
      <w:pPr>
        <w:ind w:firstLine="567"/>
        <w:contextualSpacing/>
        <w:jc w:val="both"/>
        <w:rPr>
          <w:rFonts w:eastAsia="Calibri"/>
          <w:color w:val="000000"/>
          <w:kern w:val="3"/>
          <w:sz w:val="28"/>
          <w:szCs w:val="28"/>
          <w:lang w:eastAsia="uk-UA"/>
        </w:rPr>
      </w:pPr>
      <w:r w:rsidRPr="00B3094B">
        <w:rPr>
          <w:rFonts w:eastAsia="Calibri"/>
          <w:color w:val="000000"/>
          <w:kern w:val="3"/>
          <w:sz w:val="28"/>
          <w:szCs w:val="28"/>
          <w:lang w:eastAsia="uk-UA"/>
        </w:rPr>
        <w:t>6.</w:t>
      </w:r>
      <w:r w:rsidRPr="00B3094B">
        <w:rPr>
          <w:rFonts w:eastAsia="Calibri"/>
          <w:color w:val="000000"/>
          <w:kern w:val="3"/>
          <w:sz w:val="28"/>
          <w:szCs w:val="28"/>
          <w:lang w:eastAsia="uk-UA"/>
        </w:rPr>
        <w:tab/>
        <w:t>Учасник повинен надати копії чинних сертифікатів відповідності вимогам міжнародного стандарту ISO 27001:2013 або ISO 27001:2022 «Інформаційні технології. Методи захисту. Системи менеджменту інформаційної безпеки. Вимоги». Орган оцінки відповідності (сертифікації), який видав сертифікат, повинен бути акредитований відповідно до законодавства у сфері акредитації або призначений відповідно до законодавства про технічні регламенти та оцінку відповідності, або бути іноземним органом з оцінки відповідності, акредитованим відповідно іноземними органами з акредитації, що є підписантами багатосторонньої угоди про визнання Міжнародного форуму з акредитації та/або Європейської кооперації з акредитації (EA MLA). Виконавець повинен надати копію сертифіката відповідності та копію атестата про акредитацію органу оцінки відповідності (сертифікації) із додатками, які підтверджують сферу акредитації, а також копію сертифікату, що є чинним на момент подання, на спеціаліста системи управління інформаційної безпеки відповідно до вимог стандарту ISO/IEC 27001.</w:t>
      </w:r>
    </w:p>
    <w:p w:rsidR="00B3094B" w:rsidRPr="00B3094B" w:rsidRDefault="00B3094B" w:rsidP="00B3094B">
      <w:pPr>
        <w:ind w:firstLine="567"/>
        <w:contextualSpacing/>
        <w:jc w:val="both"/>
        <w:rPr>
          <w:rFonts w:eastAsia="Calibri"/>
          <w:color w:val="000000"/>
          <w:kern w:val="3"/>
          <w:sz w:val="28"/>
          <w:szCs w:val="28"/>
          <w:lang w:eastAsia="uk-UA"/>
        </w:rPr>
      </w:pPr>
      <w:r w:rsidRPr="00B3094B">
        <w:rPr>
          <w:rFonts w:eastAsia="Calibri"/>
          <w:color w:val="000000"/>
          <w:kern w:val="3"/>
          <w:sz w:val="28"/>
          <w:szCs w:val="28"/>
          <w:lang w:eastAsia="uk-UA"/>
        </w:rPr>
        <w:t>7.</w:t>
      </w:r>
      <w:r w:rsidRPr="00B3094B">
        <w:rPr>
          <w:rFonts w:eastAsia="Calibri"/>
          <w:color w:val="000000"/>
          <w:kern w:val="3"/>
          <w:sz w:val="28"/>
          <w:szCs w:val="28"/>
          <w:lang w:eastAsia="uk-UA"/>
        </w:rPr>
        <w:tab/>
        <w:t>Учасник повинен надати копію чинного сертифікату ISO 9001, виданий акредитованим органом. Сертифікат має охоплювати діяльність, пов’язану з наданням каналів зв’язку. Наявність ISO 9001 підтверджує наявність у постачальника стандартизованих процесів управління якістю, контролю інцидентів та змін, що забезпечує стабільність, передбачуваність та надійність наданих послуг..</w:t>
      </w:r>
    </w:p>
    <w:p w:rsidR="00B3094B" w:rsidRPr="00B3094B" w:rsidRDefault="00B3094B" w:rsidP="00B3094B">
      <w:pPr>
        <w:ind w:firstLine="567"/>
        <w:contextualSpacing/>
        <w:jc w:val="both"/>
        <w:rPr>
          <w:rFonts w:eastAsia="Calibri"/>
          <w:color w:val="000000"/>
          <w:kern w:val="3"/>
          <w:sz w:val="28"/>
          <w:szCs w:val="28"/>
          <w:lang w:eastAsia="uk-UA"/>
        </w:rPr>
      </w:pPr>
      <w:r w:rsidRPr="00B3094B">
        <w:rPr>
          <w:rFonts w:eastAsia="Calibri"/>
          <w:color w:val="000000"/>
          <w:kern w:val="3"/>
          <w:sz w:val="28"/>
          <w:szCs w:val="28"/>
          <w:lang w:eastAsia="uk-UA"/>
        </w:rPr>
        <w:t>8.</w:t>
      </w:r>
      <w:r w:rsidRPr="00B3094B">
        <w:rPr>
          <w:rFonts w:eastAsia="Calibri"/>
          <w:color w:val="000000"/>
          <w:kern w:val="3"/>
          <w:sz w:val="28"/>
          <w:szCs w:val="28"/>
          <w:lang w:eastAsia="uk-UA"/>
        </w:rPr>
        <w:tab/>
        <w:t>Повідомлення про включення Учасника до переліку операторів Національної системи конфіденційного зв’язку, скріплена підписом уповноваженої посадової особи та копія витягу з наказу  про видачу ліцензії на провадження господарської діяльності з надання послуг у галузі криптографічного захисту інформації (крім послуг електронного цифрового підпису) та технічного захисту інформації.</w:t>
      </w:r>
    </w:p>
    <w:p w:rsidR="00B3094B" w:rsidRPr="00B3094B" w:rsidRDefault="00B3094B" w:rsidP="00B3094B">
      <w:pPr>
        <w:ind w:firstLine="567"/>
        <w:contextualSpacing/>
        <w:jc w:val="both"/>
        <w:rPr>
          <w:rFonts w:eastAsia="Calibri"/>
          <w:color w:val="000000"/>
          <w:kern w:val="3"/>
          <w:sz w:val="28"/>
          <w:szCs w:val="28"/>
          <w:lang w:eastAsia="uk-UA"/>
        </w:rPr>
      </w:pPr>
      <w:r w:rsidRPr="00B3094B">
        <w:rPr>
          <w:rFonts w:eastAsia="Calibri"/>
          <w:color w:val="000000"/>
          <w:kern w:val="3"/>
          <w:sz w:val="28"/>
          <w:szCs w:val="28"/>
          <w:lang w:eastAsia="uk-UA"/>
        </w:rPr>
        <w:t>9.</w:t>
      </w:r>
      <w:r w:rsidRPr="00B3094B">
        <w:rPr>
          <w:rFonts w:eastAsia="Calibri"/>
          <w:color w:val="000000"/>
          <w:kern w:val="3"/>
          <w:sz w:val="28"/>
          <w:szCs w:val="28"/>
          <w:lang w:eastAsia="uk-UA"/>
        </w:rPr>
        <w:tab/>
        <w:t>Довідка (форма довільна) щодо застосування заходів із захисту довкілля.</w:t>
      </w:r>
    </w:p>
    <w:p w:rsidR="00B3094B" w:rsidRPr="00B3094B" w:rsidRDefault="00B3094B" w:rsidP="00B3094B">
      <w:pPr>
        <w:ind w:firstLine="567"/>
        <w:contextualSpacing/>
        <w:jc w:val="both"/>
        <w:rPr>
          <w:rFonts w:eastAsia="Calibri"/>
          <w:color w:val="000000"/>
          <w:kern w:val="3"/>
          <w:sz w:val="28"/>
          <w:szCs w:val="28"/>
          <w:lang w:eastAsia="uk-UA"/>
        </w:rPr>
      </w:pPr>
      <w:r w:rsidRPr="00B3094B">
        <w:rPr>
          <w:rFonts w:eastAsia="Calibri"/>
          <w:color w:val="000000"/>
          <w:kern w:val="3"/>
          <w:sz w:val="28"/>
          <w:szCs w:val="28"/>
          <w:lang w:eastAsia="uk-UA"/>
        </w:rPr>
        <w:t>10.</w:t>
      </w:r>
      <w:r w:rsidRPr="00B3094B">
        <w:rPr>
          <w:rFonts w:eastAsia="Calibri"/>
          <w:color w:val="000000"/>
          <w:kern w:val="3"/>
          <w:sz w:val="28"/>
          <w:szCs w:val="28"/>
          <w:lang w:eastAsia="uk-UA"/>
        </w:rPr>
        <w:tab/>
        <w:t>Інформаційна довідка, у довільній формі, про наявність працівників відповідної кваліфікації, які мають необхідні знання та досвід для надання послуг, а також наявність сертифікованих штатних спеціалістів, які пройшли курс навчання з тематики «Побудова та технічна експлуатація ВОЛЗ» (підтверджується відповідними сертифікатами).</w:t>
      </w:r>
    </w:p>
    <w:p w:rsidR="007C2BD8" w:rsidRPr="00B3094B" w:rsidRDefault="00A0247F" w:rsidP="007919B9">
      <w:pPr>
        <w:ind w:firstLine="567"/>
        <w:contextualSpacing/>
        <w:jc w:val="both"/>
        <w:rPr>
          <w:sz w:val="28"/>
          <w:szCs w:val="28"/>
        </w:rPr>
      </w:pPr>
      <w:r w:rsidRPr="00B3094B">
        <w:rPr>
          <w:b/>
          <w:sz w:val="28"/>
          <w:szCs w:val="28"/>
        </w:rPr>
        <w:t>5. Обґрунтування розміру бюджетного призначення:</w:t>
      </w:r>
      <w:r w:rsidRPr="00B3094B">
        <w:t xml:space="preserve"> </w:t>
      </w:r>
      <w:r w:rsidRPr="00B3094B">
        <w:rPr>
          <w:sz w:val="28"/>
          <w:szCs w:val="28"/>
        </w:rPr>
        <w:t xml:space="preserve">розмір бюджетного призначення </w:t>
      </w:r>
      <w:r w:rsidR="0044255F" w:rsidRPr="00B3094B">
        <w:rPr>
          <w:sz w:val="28"/>
          <w:szCs w:val="28"/>
        </w:rPr>
        <w:t>для предмет</w:t>
      </w:r>
      <w:r w:rsidR="00D2380B" w:rsidRPr="00B3094B">
        <w:rPr>
          <w:sz w:val="28"/>
          <w:szCs w:val="28"/>
        </w:rPr>
        <w:t>а</w:t>
      </w:r>
      <w:r w:rsidR="0044255F" w:rsidRPr="00B3094B">
        <w:rPr>
          <w:sz w:val="28"/>
          <w:szCs w:val="28"/>
        </w:rPr>
        <w:t xml:space="preserve"> закупів</w:t>
      </w:r>
      <w:r w:rsidR="00D2380B" w:rsidRPr="00B3094B">
        <w:rPr>
          <w:sz w:val="28"/>
          <w:szCs w:val="28"/>
        </w:rPr>
        <w:t>лі:</w:t>
      </w:r>
    </w:p>
    <w:p w:rsidR="00D2380B" w:rsidRPr="00B3094B" w:rsidRDefault="007C2BD8" w:rsidP="00D2380B">
      <w:pPr>
        <w:tabs>
          <w:tab w:val="left" w:pos="360"/>
          <w:tab w:val="left" w:pos="720"/>
        </w:tabs>
        <w:contextualSpacing/>
        <w:jc w:val="both"/>
        <w:rPr>
          <w:rFonts w:eastAsia="Calibri"/>
          <w:color w:val="000000"/>
          <w:sz w:val="28"/>
          <w:szCs w:val="28"/>
        </w:rPr>
      </w:pPr>
      <w:r w:rsidRPr="00B3094B">
        <w:rPr>
          <w:rFonts w:eastAsia="Calibri"/>
          <w:color w:val="000000"/>
          <w:sz w:val="28"/>
          <w:szCs w:val="28"/>
        </w:rPr>
        <w:tab/>
      </w:r>
      <w:r w:rsidRPr="00B3094B">
        <w:rPr>
          <w:rFonts w:eastAsia="Calibri"/>
          <w:color w:val="000000"/>
          <w:sz w:val="28"/>
          <w:szCs w:val="28"/>
        </w:rPr>
        <w:tab/>
        <w:t>«</w:t>
      </w:r>
      <w:r w:rsidR="009306F0" w:rsidRPr="00B3094B">
        <w:rPr>
          <w:color w:val="000000"/>
          <w:sz w:val="28"/>
          <w:szCs w:val="28"/>
        </w:rPr>
        <w:t xml:space="preserve">Послуги </w:t>
      </w:r>
      <w:proofErr w:type="spellStart"/>
      <w:r w:rsidR="009306F0" w:rsidRPr="00B3094B">
        <w:rPr>
          <w:color w:val="000000"/>
          <w:sz w:val="28"/>
          <w:szCs w:val="28"/>
        </w:rPr>
        <w:t>інтернет-провайдерів</w:t>
      </w:r>
      <w:proofErr w:type="spellEnd"/>
      <w:r w:rsidR="009306F0" w:rsidRPr="00B3094B">
        <w:rPr>
          <w:color w:val="000000"/>
          <w:sz w:val="28"/>
          <w:szCs w:val="28"/>
        </w:rPr>
        <w:t xml:space="preserve"> за користування Інтернетом</w:t>
      </w:r>
      <w:r w:rsidR="00104B41" w:rsidRPr="00B3094B">
        <w:rPr>
          <w:rFonts w:eastAsia="Calibri"/>
          <w:color w:val="000000"/>
          <w:sz w:val="28"/>
          <w:szCs w:val="28"/>
        </w:rPr>
        <w:t>» за кодом ДК 021:2015 –</w:t>
      </w:r>
      <w:r w:rsidR="009306F0" w:rsidRPr="00B3094B">
        <w:rPr>
          <w:rFonts w:eastAsia="Dotum"/>
          <w:bCs/>
          <w:color w:val="000000"/>
          <w:sz w:val="28"/>
          <w:szCs w:val="28"/>
        </w:rPr>
        <w:t>72410000-7-Послуги провайдерів</w:t>
      </w:r>
      <w:r w:rsidR="00EE2B3B" w:rsidRPr="00B3094B">
        <w:rPr>
          <w:sz w:val="28"/>
          <w:szCs w:val="28"/>
        </w:rPr>
        <w:t xml:space="preserve">, очікуваний </w:t>
      </w:r>
      <w:r w:rsidR="00D2380B" w:rsidRPr="00B3094B">
        <w:rPr>
          <w:sz w:val="28"/>
          <w:szCs w:val="28"/>
        </w:rPr>
        <w:t>розрахун</w:t>
      </w:r>
      <w:r w:rsidR="00EE2B3B" w:rsidRPr="00B3094B">
        <w:rPr>
          <w:sz w:val="28"/>
          <w:szCs w:val="28"/>
        </w:rPr>
        <w:t>ок</w:t>
      </w:r>
      <w:r w:rsidR="00D2380B" w:rsidRPr="00B3094B">
        <w:rPr>
          <w:sz w:val="28"/>
          <w:szCs w:val="28"/>
        </w:rPr>
        <w:t xml:space="preserve"> </w:t>
      </w:r>
      <w:r w:rsidR="00D2380B" w:rsidRPr="00B3094B">
        <w:rPr>
          <w:sz w:val="28"/>
          <w:szCs w:val="28"/>
        </w:rPr>
        <w:lastRenderedPageBreak/>
        <w:t>видатків до кошторису Сумської митниці на 202</w:t>
      </w:r>
      <w:r w:rsidR="001D56AB">
        <w:rPr>
          <w:sz w:val="28"/>
          <w:szCs w:val="28"/>
        </w:rPr>
        <w:t>6</w:t>
      </w:r>
      <w:bookmarkStart w:id="0" w:name="_GoBack"/>
      <w:bookmarkEnd w:id="0"/>
      <w:r w:rsidR="00D2380B" w:rsidRPr="00B3094B">
        <w:rPr>
          <w:sz w:val="28"/>
          <w:szCs w:val="28"/>
        </w:rPr>
        <w:t>рік (загальний фонд) за КПКВК 3506010 «Керівництво та управління у сфері митної політики».</w:t>
      </w:r>
    </w:p>
    <w:p w:rsidR="00A9415E" w:rsidRPr="00B3094B" w:rsidRDefault="00A9415E" w:rsidP="00A9415E">
      <w:pPr>
        <w:tabs>
          <w:tab w:val="left" w:pos="360"/>
          <w:tab w:val="left" w:pos="720"/>
        </w:tabs>
        <w:contextualSpacing/>
        <w:jc w:val="both"/>
        <w:rPr>
          <w:rFonts w:eastAsia="Calibri"/>
          <w:color w:val="000000"/>
          <w:sz w:val="28"/>
          <w:szCs w:val="28"/>
        </w:rPr>
      </w:pPr>
    </w:p>
    <w:p w:rsidR="007F146A" w:rsidRPr="00B3094B" w:rsidRDefault="00A0247F" w:rsidP="007919B9">
      <w:pPr>
        <w:ind w:firstLine="567"/>
        <w:contextualSpacing/>
        <w:jc w:val="both"/>
        <w:rPr>
          <w:sz w:val="28"/>
          <w:szCs w:val="28"/>
        </w:rPr>
      </w:pPr>
      <w:r w:rsidRPr="00B3094B">
        <w:rPr>
          <w:b/>
          <w:sz w:val="28"/>
          <w:szCs w:val="28"/>
        </w:rPr>
        <w:t>6. Очікувана вартість предмета закупівлі:</w:t>
      </w:r>
      <w:r w:rsidR="00500435" w:rsidRPr="00B3094B">
        <w:rPr>
          <w:b/>
          <w:sz w:val="28"/>
          <w:szCs w:val="28"/>
        </w:rPr>
        <w:t xml:space="preserve"> </w:t>
      </w:r>
      <w:r w:rsidR="00B3094B" w:rsidRPr="00B3094B">
        <w:rPr>
          <w:b/>
          <w:sz w:val="28"/>
          <w:szCs w:val="28"/>
        </w:rPr>
        <w:t xml:space="preserve">110 887,60 </w:t>
      </w:r>
      <w:r w:rsidR="007C2BD8" w:rsidRPr="00B3094B">
        <w:rPr>
          <w:sz w:val="28"/>
          <w:szCs w:val="28"/>
        </w:rPr>
        <w:t>грн</w:t>
      </w:r>
      <w:r w:rsidR="000B1694" w:rsidRPr="00B3094B">
        <w:rPr>
          <w:sz w:val="28"/>
          <w:szCs w:val="28"/>
        </w:rPr>
        <w:t>.</w:t>
      </w:r>
      <w:r w:rsidR="007C2BD8" w:rsidRPr="00B3094B">
        <w:rPr>
          <w:sz w:val="28"/>
          <w:szCs w:val="28"/>
        </w:rPr>
        <w:t xml:space="preserve"> </w:t>
      </w:r>
      <w:r w:rsidR="000B1694" w:rsidRPr="00B3094B">
        <w:rPr>
          <w:sz w:val="28"/>
          <w:szCs w:val="28"/>
        </w:rPr>
        <w:t>з ПДВ.</w:t>
      </w:r>
      <w:r w:rsidR="007C2BD8" w:rsidRPr="00B3094B">
        <w:rPr>
          <w:sz w:val="28"/>
          <w:szCs w:val="28"/>
        </w:rPr>
        <w:t xml:space="preserve"> </w:t>
      </w:r>
    </w:p>
    <w:p w:rsidR="007F146A" w:rsidRPr="00B3094B" w:rsidRDefault="00500435" w:rsidP="007919B9">
      <w:pPr>
        <w:ind w:firstLine="567"/>
        <w:contextualSpacing/>
        <w:jc w:val="both"/>
        <w:rPr>
          <w:sz w:val="28"/>
          <w:szCs w:val="28"/>
        </w:rPr>
      </w:pPr>
      <w:r w:rsidRPr="00B3094B">
        <w:rPr>
          <w:sz w:val="28"/>
          <w:szCs w:val="28"/>
        </w:rPr>
        <w:t xml:space="preserve"> </w:t>
      </w:r>
    </w:p>
    <w:p w:rsidR="00964E6F" w:rsidRPr="00B3094B" w:rsidRDefault="00A0247F" w:rsidP="007919B9">
      <w:pPr>
        <w:ind w:firstLine="567"/>
        <w:contextualSpacing/>
        <w:jc w:val="both"/>
      </w:pPr>
      <w:r w:rsidRPr="00B3094B">
        <w:rPr>
          <w:b/>
          <w:sz w:val="28"/>
          <w:szCs w:val="28"/>
        </w:rPr>
        <w:t>7. Обґрунтування очікуваної вартості предмета закупівлі:</w:t>
      </w:r>
      <w:r w:rsidRPr="00B3094B">
        <w:t xml:space="preserve"> </w:t>
      </w:r>
    </w:p>
    <w:p w:rsidR="004B14B0" w:rsidRPr="00B3094B" w:rsidRDefault="004B14B0" w:rsidP="007919B9">
      <w:pPr>
        <w:ind w:firstLine="567"/>
        <w:contextualSpacing/>
        <w:jc w:val="both"/>
      </w:pPr>
    </w:p>
    <w:p w:rsidR="007B3889" w:rsidRPr="00B3094B" w:rsidRDefault="007B3889" w:rsidP="007C2BD8">
      <w:pPr>
        <w:tabs>
          <w:tab w:val="left" w:pos="851"/>
        </w:tabs>
        <w:spacing w:after="120"/>
        <w:ind w:firstLine="567"/>
        <w:jc w:val="both"/>
        <w:rPr>
          <w:sz w:val="28"/>
          <w:szCs w:val="28"/>
        </w:rPr>
      </w:pPr>
      <w:r w:rsidRPr="00B3094B">
        <w:rPr>
          <w:sz w:val="28"/>
          <w:szCs w:val="28"/>
        </w:rPr>
        <w:t>Очікуван</w:t>
      </w:r>
      <w:r w:rsidR="00104B41" w:rsidRPr="00B3094B">
        <w:rPr>
          <w:sz w:val="28"/>
          <w:szCs w:val="28"/>
        </w:rPr>
        <w:t>у</w:t>
      </w:r>
      <w:r w:rsidRPr="00B3094B">
        <w:rPr>
          <w:sz w:val="28"/>
          <w:szCs w:val="28"/>
        </w:rPr>
        <w:t xml:space="preserve"> вартість предмета закупівлі </w:t>
      </w:r>
      <w:r w:rsidR="005B6B5A" w:rsidRPr="00B3094B">
        <w:rPr>
          <w:sz w:val="28"/>
          <w:szCs w:val="28"/>
        </w:rPr>
        <w:t>здійснено на підставі середньої ціни на ринку, а саме загальнодоступної відкритої інформації про ціни шляхом моніторингу ринкових цін на аналогічн</w:t>
      </w:r>
      <w:r w:rsidR="00366F62" w:rsidRPr="00B3094B">
        <w:rPr>
          <w:sz w:val="28"/>
          <w:szCs w:val="28"/>
        </w:rPr>
        <w:t>і</w:t>
      </w:r>
      <w:r w:rsidR="005B6B5A" w:rsidRPr="00B3094B">
        <w:rPr>
          <w:sz w:val="28"/>
          <w:szCs w:val="28"/>
        </w:rPr>
        <w:t xml:space="preserve"> </w:t>
      </w:r>
      <w:r w:rsidR="00366F62" w:rsidRPr="00B3094B">
        <w:rPr>
          <w:sz w:val="28"/>
          <w:szCs w:val="28"/>
        </w:rPr>
        <w:t xml:space="preserve">послуги </w:t>
      </w:r>
      <w:r w:rsidR="005B6B5A" w:rsidRPr="00B3094B">
        <w:rPr>
          <w:sz w:val="28"/>
          <w:szCs w:val="28"/>
        </w:rPr>
        <w:t>в мережі Інтернет</w:t>
      </w:r>
      <w:r w:rsidR="008D4B9B" w:rsidRPr="00B3094B">
        <w:rPr>
          <w:sz w:val="28"/>
          <w:szCs w:val="28"/>
        </w:rPr>
        <w:t>.</w:t>
      </w:r>
    </w:p>
    <w:p w:rsidR="00964E6F" w:rsidRPr="00B3094B" w:rsidRDefault="00964E6F" w:rsidP="00A0247F">
      <w:pPr>
        <w:ind w:firstLine="709"/>
        <w:contextualSpacing/>
        <w:jc w:val="both"/>
        <w:rPr>
          <w:sz w:val="28"/>
          <w:szCs w:val="28"/>
        </w:rPr>
      </w:pPr>
    </w:p>
    <w:sectPr w:rsidR="00964E6F" w:rsidRPr="00B3094B" w:rsidSect="000B7912">
      <w:headerReference w:type="default" r:id="rId8"/>
      <w:headerReference w:type="first" r:id="rId9"/>
      <w:pgSz w:w="11906" w:h="16838" w:code="9"/>
      <w:pgMar w:top="567" w:right="680"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EA8" w:rsidRDefault="002C0EA8">
      <w:r>
        <w:separator/>
      </w:r>
    </w:p>
  </w:endnote>
  <w:endnote w:type="continuationSeparator" w:id="0">
    <w:p w:rsidR="002C0EA8" w:rsidRDefault="002C0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EA8" w:rsidRDefault="002C0EA8">
      <w:r>
        <w:separator/>
      </w:r>
    </w:p>
  </w:footnote>
  <w:footnote w:type="continuationSeparator" w:id="0">
    <w:p w:rsidR="002C0EA8" w:rsidRDefault="002C0E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912" w:rsidRDefault="000B7912">
    <w:pPr>
      <w:pStyle w:val="af3"/>
      <w:jc w:val="center"/>
    </w:pPr>
  </w:p>
  <w:p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BFA5511"/>
    <w:multiLevelType w:val="multilevel"/>
    <w:tmpl w:val="F668809C"/>
    <w:lvl w:ilvl="0">
      <w:start w:val="3"/>
      <w:numFmt w:val="decimal"/>
      <w:lvlText w:val="%1."/>
      <w:lvlJc w:val="left"/>
      <w:pPr>
        <w:ind w:left="786" w:hanging="360"/>
      </w:pPr>
    </w:lvl>
    <w:lvl w:ilvl="1">
      <w:start w:val="1"/>
      <w:numFmt w:val="decimal"/>
      <w:lvlText w:val="%2."/>
      <w:lvlJc w:val="left"/>
      <w:pPr>
        <w:ind w:left="502" w:hanging="360"/>
      </w:pPr>
      <w:rPr>
        <w:rFonts w:ascii="Times New Roman" w:eastAsiaTheme="minorHAnsi"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9">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1"/>
  </w:num>
  <w:num w:numId="2">
    <w:abstractNumId w:val="6"/>
  </w:num>
  <w:num w:numId="3">
    <w:abstractNumId w:val="10"/>
  </w:num>
  <w:num w:numId="4">
    <w:abstractNumId w:val="8"/>
  </w:num>
  <w:num w:numId="5">
    <w:abstractNumId w:val="3"/>
  </w:num>
  <w:num w:numId="6">
    <w:abstractNumId w:val="2"/>
  </w:num>
  <w:num w:numId="7">
    <w:abstractNumId w:val="11"/>
  </w:num>
  <w:num w:numId="8">
    <w:abstractNumId w:val="4"/>
  </w:num>
  <w:num w:numId="9">
    <w:abstractNumId w:val="5"/>
  </w:num>
  <w:num w:numId="10">
    <w:abstractNumId w:val="9"/>
  </w:num>
  <w:num w:numId="1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2B2C"/>
    <w:rsid w:val="00004702"/>
    <w:rsid w:val="00006A5C"/>
    <w:rsid w:val="00010509"/>
    <w:rsid w:val="00012A97"/>
    <w:rsid w:val="00013A0D"/>
    <w:rsid w:val="0001635C"/>
    <w:rsid w:val="00017CE9"/>
    <w:rsid w:val="000329A3"/>
    <w:rsid w:val="00036C70"/>
    <w:rsid w:val="00036EA0"/>
    <w:rsid w:val="000401FD"/>
    <w:rsid w:val="0004289F"/>
    <w:rsid w:val="00044DDD"/>
    <w:rsid w:val="00046F1E"/>
    <w:rsid w:val="000506FD"/>
    <w:rsid w:val="00051645"/>
    <w:rsid w:val="00052E7B"/>
    <w:rsid w:val="00054D65"/>
    <w:rsid w:val="000635D2"/>
    <w:rsid w:val="000644C4"/>
    <w:rsid w:val="00064C36"/>
    <w:rsid w:val="00070488"/>
    <w:rsid w:val="00071BC9"/>
    <w:rsid w:val="000749AD"/>
    <w:rsid w:val="00075ED1"/>
    <w:rsid w:val="00076041"/>
    <w:rsid w:val="000772E4"/>
    <w:rsid w:val="000772F5"/>
    <w:rsid w:val="00080DF5"/>
    <w:rsid w:val="000826AB"/>
    <w:rsid w:val="0008274B"/>
    <w:rsid w:val="00083B1B"/>
    <w:rsid w:val="000A043A"/>
    <w:rsid w:val="000A21B9"/>
    <w:rsid w:val="000A2D5D"/>
    <w:rsid w:val="000A7953"/>
    <w:rsid w:val="000B046E"/>
    <w:rsid w:val="000B1664"/>
    <w:rsid w:val="000B169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5249"/>
    <w:rsid w:val="000E65E0"/>
    <w:rsid w:val="000F2F2D"/>
    <w:rsid w:val="00101B39"/>
    <w:rsid w:val="00102909"/>
    <w:rsid w:val="00102ED6"/>
    <w:rsid w:val="00103168"/>
    <w:rsid w:val="00104B41"/>
    <w:rsid w:val="00104E63"/>
    <w:rsid w:val="00105762"/>
    <w:rsid w:val="00107AEC"/>
    <w:rsid w:val="0011279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63E1"/>
    <w:rsid w:val="00147BEB"/>
    <w:rsid w:val="00150BB6"/>
    <w:rsid w:val="001512C0"/>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8585C"/>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56AB"/>
    <w:rsid w:val="001D668A"/>
    <w:rsid w:val="001D76AC"/>
    <w:rsid w:val="001E346A"/>
    <w:rsid w:val="001E5073"/>
    <w:rsid w:val="001E5917"/>
    <w:rsid w:val="001E7665"/>
    <w:rsid w:val="001E7A2E"/>
    <w:rsid w:val="001F5008"/>
    <w:rsid w:val="001F5B4C"/>
    <w:rsid w:val="001F5E43"/>
    <w:rsid w:val="002015DC"/>
    <w:rsid w:val="00203CF2"/>
    <w:rsid w:val="002077F7"/>
    <w:rsid w:val="00210C3D"/>
    <w:rsid w:val="002117A6"/>
    <w:rsid w:val="0021637A"/>
    <w:rsid w:val="00216623"/>
    <w:rsid w:val="0022028C"/>
    <w:rsid w:val="0022124B"/>
    <w:rsid w:val="00224AA1"/>
    <w:rsid w:val="00224F24"/>
    <w:rsid w:val="00225D32"/>
    <w:rsid w:val="00231128"/>
    <w:rsid w:val="002352DF"/>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2047"/>
    <w:rsid w:val="00274C5C"/>
    <w:rsid w:val="00275898"/>
    <w:rsid w:val="00275C23"/>
    <w:rsid w:val="00275D81"/>
    <w:rsid w:val="00283A6D"/>
    <w:rsid w:val="00284944"/>
    <w:rsid w:val="00284FE9"/>
    <w:rsid w:val="00287023"/>
    <w:rsid w:val="00287A52"/>
    <w:rsid w:val="00293F2E"/>
    <w:rsid w:val="002A06E7"/>
    <w:rsid w:val="002A629D"/>
    <w:rsid w:val="002B1B79"/>
    <w:rsid w:val="002B2705"/>
    <w:rsid w:val="002B28FF"/>
    <w:rsid w:val="002B7710"/>
    <w:rsid w:val="002B7F3D"/>
    <w:rsid w:val="002C0EA8"/>
    <w:rsid w:val="002C116C"/>
    <w:rsid w:val="002C250E"/>
    <w:rsid w:val="002C54F7"/>
    <w:rsid w:val="002C72E3"/>
    <w:rsid w:val="002D11D3"/>
    <w:rsid w:val="002D2FF8"/>
    <w:rsid w:val="002D5D72"/>
    <w:rsid w:val="002D6B5B"/>
    <w:rsid w:val="002E0DD5"/>
    <w:rsid w:val="002E16AD"/>
    <w:rsid w:val="002E336A"/>
    <w:rsid w:val="002E3D9D"/>
    <w:rsid w:val="002E4061"/>
    <w:rsid w:val="002E558F"/>
    <w:rsid w:val="002E5DA3"/>
    <w:rsid w:val="002E67DA"/>
    <w:rsid w:val="00301851"/>
    <w:rsid w:val="00304A21"/>
    <w:rsid w:val="00304BF7"/>
    <w:rsid w:val="003101FD"/>
    <w:rsid w:val="00311F24"/>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66F62"/>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4976"/>
    <w:rsid w:val="003C5D65"/>
    <w:rsid w:val="003C6828"/>
    <w:rsid w:val="003C69EC"/>
    <w:rsid w:val="003C739B"/>
    <w:rsid w:val="003D0500"/>
    <w:rsid w:val="003D15D3"/>
    <w:rsid w:val="003D3538"/>
    <w:rsid w:val="003D4BCF"/>
    <w:rsid w:val="003D52BA"/>
    <w:rsid w:val="003D5EED"/>
    <w:rsid w:val="003D6F54"/>
    <w:rsid w:val="003D7EB3"/>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5D02"/>
    <w:rsid w:val="004972C3"/>
    <w:rsid w:val="00497416"/>
    <w:rsid w:val="004A0368"/>
    <w:rsid w:val="004A2169"/>
    <w:rsid w:val="004A2E72"/>
    <w:rsid w:val="004A4D1B"/>
    <w:rsid w:val="004A5AB8"/>
    <w:rsid w:val="004B14B0"/>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60D5"/>
    <w:rsid w:val="0054611F"/>
    <w:rsid w:val="00546488"/>
    <w:rsid w:val="00546FF2"/>
    <w:rsid w:val="005600C8"/>
    <w:rsid w:val="005613F2"/>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731"/>
    <w:rsid w:val="005B6B5A"/>
    <w:rsid w:val="005C2F18"/>
    <w:rsid w:val="005C5900"/>
    <w:rsid w:val="005C5F2B"/>
    <w:rsid w:val="005C6726"/>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053"/>
    <w:rsid w:val="00614E01"/>
    <w:rsid w:val="0061676C"/>
    <w:rsid w:val="00620A74"/>
    <w:rsid w:val="00623E05"/>
    <w:rsid w:val="0062483A"/>
    <w:rsid w:val="00631F4F"/>
    <w:rsid w:val="00634D8E"/>
    <w:rsid w:val="00635D21"/>
    <w:rsid w:val="00643801"/>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7F49AD"/>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4CF"/>
    <w:rsid w:val="00853E1F"/>
    <w:rsid w:val="00855D34"/>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2C3"/>
    <w:rsid w:val="008A6F0B"/>
    <w:rsid w:val="008A7402"/>
    <w:rsid w:val="008B179D"/>
    <w:rsid w:val="008B1AE8"/>
    <w:rsid w:val="008B21B9"/>
    <w:rsid w:val="008B2593"/>
    <w:rsid w:val="008B3172"/>
    <w:rsid w:val="008B3702"/>
    <w:rsid w:val="008B3F0B"/>
    <w:rsid w:val="008B4282"/>
    <w:rsid w:val="008B5CAB"/>
    <w:rsid w:val="008C1D39"/>
    <w:rsid w:val="008C1E20"/>
    <w:rsid w:val="008C3663"/>
    <w:rsid w:val="008C3B6F"/>
    <w:rsid w:val="008C69E1"/>
    <w:rsid w:val="008D2E73"/>
    <w:rsid w:val="008D3317"/>
    <w:rsid w:val="008D4B9B"/>
    <w:rsid w:val="008D538C"/>
    <w:rsid w:val="008D5511"/>
    <w:rsid w:val="008D6CBF"/>
    <w:rsid w:val="008D7EA6"/>
    <w:rsid w:val="008E1EE0"/>
    <w:rsid w:val="008E2291"/>
    <w:rsid w:val="008E5F99"/>
    <w:rsid w:val="008E60DA"/>
    <w:rsid w:val="008F008F"/>
    <w:rsid w:val="008F0421"/>
    <w:rsid w:val="008F3AF2"/>
    <w:rsid w:val="008F5B92"/>
    <w:rsid w:val="008F69F4"/>
    <w:rsid w:val="00901090"/>
    <w:rsid w:val="0090158F"/>
    <w:rsid w:val="009038D5"/>
    <w:rsid w:val="00905184"/>
    <w:rsid w:val="00906F9C"/>
    <w:rsid w:val="009078A7"/>
    <w:rsid w:val="00910285"/>
    <w:rsid w:val="0091064D"/>
    <w:rsid w:val="00910B05"/>
    <w:rsid w:val="00914371"/>
    <w:rsid w:val="00914AD4"/>
    <w:rsid w:val="0091518E"/>
    <w:rsid w:val="0091636B"/>
    <w:rsid w:val="009306F0"/>
    <w:rsid w:val="00931C63"/>
    <w:rsid w:val="00935C4E"/>
    <w:rsid w:val="00936F65"/>
    <w:rsid w:val="00940E0F"/>
    <w:rsid w:val="009417A8"/>
    <w:rsid w:val="00943A94"/>
    <w:rsid w:val="00946425"/>
    <w:rsid w:val="00946D22"/>
    <w:rsid w:val="00947B86"/>
    <w:rsid w:val="00950265"/>
    <w:rsid w:val="00951705"/>
    <w:rsid w:val="009547C8"/>
    <w:rsid w:val="00956E71"/>
    <w:rsid w:val="00956FCB"/>
    <w:rsid w:val="00962105"/>
    <w:rsid w:val="0096471B"/>
    <w:rsid w:val="00964E6F"/>
    <w:rsid w:val="0097172E"/>
    <w:rsid w:val="009727B5"/>
    <w:rsid w:val="009730C8"/>
    <w:rsid w:val="00974DCE"/>
    <w:rsid w:val="009829D1"/>
    <w:rsid w:val="00984D41"/>
    <w:rsid w:val="0099256A"/>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4B2F"/>
    <w:rsid w:val="009E7E44"/>
    <w:rsid w:val="009F0D2B"/>
    <w:rsid w:val="00A0247F"/>
    <w:rsid w:val="00A03EFD"/>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15E"/>
    <w:rsid w:val="00A949DE"/>
    <w:rsid w:val="00A96C94"/>
    <w:rsid w:val="00AA156C"/>
    <w:rsid w:val="00AA21F6"/>
    <w:rsid w:val="00AA3D77"/>
    <w:rsid w:val="00AA3FB9"/>
    <w:rsid w:val="00AA440E"/>
    <w:rsid w:val="00AA48A8"/>
    <w:rsid w:val="00AA6424"/>
    <w:rsid w:val="00AA6CD9"/>
    <w:rsid w:val="00AB0102"/>
    <w:rsid w:val="00AB38A8"/>
    <w:rsid w:val="00AB73B8"/>
    <w:rsid w:val="00AB742F"/>
    <w:rsid w:val="00AB7CD0"/>
    <w:rsid w:val="00AC28CF"/>
    <w:rsid w:val="00AC3DE9"/>
    <w:rsid w:val="00AC4DF6"/>
    <w:rsid w:val="00AD1CEB"/>
    <w:rsid w:val="00AD27A1"/>
    <w:rsid w:val="00AD49C2"/>
    <w:rsid w:val="00AD6191"/>
    <w:rsid w:val="00AD7100"/>
    <w:rsid w:val="00AE19C5"/>
    <w:rsid w:val="00AE28CD"/>
    <w:rsid w:val="00AE4FB8"/>
    <w:rsid w:val="00AE63CB"/>
    <w:rsid w:val="00AE71A3"/>
    <w:rsid w:val="00AF2450"/>
    <w:rsid w:val="00AF316F"/>
    <w:rsid w:val="00AF7DF5"/>
    <w:rsid w:val="00B001D1"/>
    <w:rsid w:val="00B1347E"/>
    <w:rsid w:val="00B134F0"/>
    <w:rsid w:val="00B1689D"/>
    <w:rsid w:val="00B22814"/>
    <w:rsid w:val="00B229A4"/>
    <w:rsid w:val="00B2325B"/>
    <w:rsid w:val="00B26509"/>
    <w:rsid w:val="00B3094B"/>
    <w:rsid w:val="00B31C16"/>
    <w:rsid w:val="00B351A7"/>
    <w:rsid w:val="00B528E6"/>
    <w:rsid w:val="00B554CC"/>
    <w:rsid w:val="00B57493"/>
    <w:rsid w:val="00B57D54"/>
    <w:rsid w:val="00B57EBB"/>
    <w:rsid w:val="00B63335"/>
    <w:rsid w:val="00B661EC"/>
    <w:rsid w:val="00B701E1"/>
    <w:rsid w:val="00B70D79"/>
    <w:rsid w:val="00B741E8"/>
    <w:rsid w:val="00B82055"/>
    <w:rsid w:val="00B83155"/>
    <w:rsid w:val="00B83909"/>
    <w:rsid w:val="00B879D1"/>
    <w:rsid w:val="00B91371"/>
    <w:rsid w:val="00B916E6"/>
    <w:rsid w:val="00B91DC2"/>
    <w:rsid w:val="00B93864"/>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3E0F"/>
    <w:rsid w:val="00BE5462"/>
    <w:rsid w:val="00BE6112"/>
    <w:rsid w:val="00BE6F8A"/>
    <w:rsid w:val="00BE771E"/>
    <w:rsid w:val="00BE7F17"/>
    <w:rsid w:val="00BE7F89"/>
    <w:rsid w:val="00C01A7E"/>
    <w:rsid w:val="00C04A03"/>
    <w:rsid w:val="00C101E9"/>
    <w:rsid w:val="00C10557"/>
    <w:rsid w:val="00C14727"/>
    <w:rsid w:val="00C160B6"/>
    <w:rsid w:val="00C20854"/>
    <w:rsid w:val="00C21602"/>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5B84"/>
    <w:rsid w:val="00CB6576"/>
    <w:rsid w:val="00CB6A5B"/>
    <w:rsid w:val="00CB6B80"/>
    <w:rsid w:val="00CB75FB"/>
    <w:rsid w:val="00CC0D1F"/>
    <w:rsid w:val="00CC0FA0"/>
    <w:rsid w:val="00CC23D1"/>
    <w:rsid w:val="00CC2593"/>
    <w:rsid w:val="00CC3EE4"/>
    <w:rsid w:val="00CC4115"/>
    <w:rsid w:val="00CC4EFB"/>
    <w:rsid w:val="00CD43AB"/>
    <w:rsid w:val="00CD66B9"/>
    <w:rsid w:val="00CE23FE"/>
    <w:rsid w:val="00CE295B"/>
    <w:rsid w:val="00CE3EAE"/>
    <w:rsid w:val="00CE4EE1"/>
    <w:rsid w:val="00CE54AF"/>
    <w:rsid w:val="00CE5E09"/>
    <w:rsid w:val="00CE6744"/>
    <w:rsid w:val="00CE6F60"/>
    <w:rsid w:val="00CF066C"/>
    <w:rsid w:val="00CF074B"/>
    <w:rsid w:val="00CF5289"/>
    <w:rsid w:val="00CF56FE"/>
    <w:rsid w:val="00CF72E7"/>
    <w:rsid w:val="00D01C1D"/>
    <w:rsid w:val="00D01FA5"/>
    <w:rsid w:val="00D02898"/>
    <w:rsid w:val="00D03559"/>
    <w:rsid w:val="00D042A3"/>
    <w:rsid w:val="00D0481D"/>
    <w:rsid w:val="00D0627C"/>
    <w:rsid w:val="00D06541"/>
    <w:rsid w:val="00D07235"/>
    <w:rsid w:val="00D0724B"/>
    <w:rsid w:val="00D10807"/>
    <w:rsid w:val="00D16928"/>
    <w:rsid w:val="00D204F9"/>
    <w:rsid w:val="00D2380B"/>
    <w:rsid w:val="00D246E0"/>
    <w:rsid w:val="00D248E7"/>
    <w:rsid w:val="00D2769A"/>
    <w:rsid w:val="00D30352"/>
    <w:rsid w:val="00D33B3C"/>
    <w:rsid w:val="00D34304"/>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2885"/>
    <w:rsid w:val="00D9502A"/>
    <w:rsid w:val="00DA065C"/>
    <w:rsid w:val="00DA096E"/>
    <w:rsid w:val="00DA1175"/>
    <w:rsid w:val="00DA3195"/>
    <w:rsid w:val="00DA3D23"/>
    <w:rsid w:val="00DA478B"/>
    <w:rsid w:val="00DA48D5"/>
    <w:rsid w:val="00DA4C4E"/>
    <w:rsid w:val="00DA4DE2"/>
    <w:rsid w:val="00DA7A15"/>
    <w:rsid w:val="00DB65E5"/>
    <w:rsid w:val="00DB7598"/>
    <w:rsid w:val="00DC011D"/>
    <w:rsid w:val="00DC0AE1"/>
    <w:rsid w:val="00DC2AA5"/>
    <w:rsid w:val="00DC2F2E"/>
    <w:rsid w:val="00DC31A5"/>
    <w:rsid w:val="00DC4383"/>
    <w:rsid w:val="00DD6469"/>
    <w:rsid w:val="00DD6AC2"/>
    <w:rsid w:val="00DE03BB"/>
    <w:rsid w:val="00DE4C8A"/>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A4525"/>
    <w:rsid w:val="00EA484B"/>
    <w:rsid w:val="00EB0A9F"/>
    <w:rsid w:val="00EB5A17"/>
    <w:rsid w:val="00EC0ED4"/>
    <w:rsid w:val="00EC47C6"/>
    <w:rsid w:val="00EC517E"/>
    <w:rsid w:val="00EC6309"/>
    <w:rsid w:val="00ED3512"/>
    <w:rsid w:val="00ED4FF7"/>
    <w:rsid w:val="00ED5161"/>
    <w:rsid w:val="00ED51F0"/>
    <w:rsid w:val="00ED55A7"/>
    <w:rsid w:val="00EE13D3"/>
    <w:rsid w:val="00EE2B3B"/>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E4"/>
    <w:rsid w:val="00F44199"/>
    <w:rsid w:val="00F455C9"/>
    <w:rsid w:val="00F518EE"/>
    <w:rsid w:val="00F52667"/>
    <w:rsid w:val="00F57814"/>
    <w:rsid w:val="00F57D68"/>
    <w:rsid w:val="00F60347"/>
    <w:rsid w:val="00F60D13"/>
    <w:rsid w:val="00F62737"/>
    <w:rsid w:val="00F630FA"/>
    <w:rsid w:val="00F6387D"/>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4944"/>
    <w:rsid w:val="00FC6F02"/>
    <w:rsid w:val="00FD0F32"/>
    <w:rsid w:val="00FD1C01"/>
    <w:rsid w:val="00FD28DE"/>
    <w:rsid w:val="00FD7835"/>
    <w:rsid w:val="00FE23B7"/>
    <w:rsid w:val="00FE3247"/>
    <w:rsid w:val="00FE37E4"/>
    <w:rsid w:val="00FE39BA"/>
    <w:rsid w:val="00FF1BD9"/>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link w:val="aff4"/>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character" w:customStyle="1" w:styleId="aff4">
    <w:name w:val="Без інтервалів Знак"/>
    <w:link w:val="aff3"/>
    <w:uiPriority w:val="99"/>
    <w:locked/>
    <w:rsid w:val="00D0724B"/>
    <w:rPr>
      <w:rFonts w:eastAsia="Times New Roman"/>
      <w:sz w:val="22"/>
      <w:szCs w:val="22"/>
      <w:lang w:val="ru-RU" w:eastAsia="ru-RU"/>
    </w:rPr>
  </w:style>
  <w:style w:type="character" w:customStyle="1" w:styleId="fw500">
    <w:name w:val="fw(500)"/>
    <w:basedOn w:val="a2"/>
    <w:rsid w:val="00CD66B9"/>
  </w:style>
  <w:style w:type="character" w:customStyle="1" w:styleId="valignt">
    <w:name w:val="valign(t)"/>
    <w:basedOn w:val="a2"/>
    <w:rsid w:val="00CD66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link w:val="aff4"/>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character" w:customStyle="1" w:styleId="aff4">
    <w:name w:val="Без інтервалів Знак"/>
    <w:link w:val="aff3"/>
    <w:uiPriority w:val="99"/>
    <w:locked/>
    <w:rsid w:val="00D0724B"/>
    <w:rPr>
      <w:rFonts w:eastAsia="Times New Roman"/>
      <w:sz w:val="22"/>
      <w:szCs w:val="22"/>
      <w:lang w:val="ru-RU" w:eastAsia="ru-RU"/>
    </w:rPr>
  </w:style>
  <w:style w:type="character" w:customStyle="1" w:styleId="fw500">
    <w:name w:val="fw(500)"/>
    <w:basedOn w:val="a2"/>
    <w:rsid w:val="00CD66B9"/>
  </w:style>
  <w:style w:type="character" w:customStyle="1" w:styleId="valignt">
    <w:name w:val="valign(t)"/>
    <w:basedOn w:val="a2"/>
    <w:rsid w:val="00CD6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1236</Words>
  <Characters>7049</Characters>
  <Application>Microsoft Office Word</Application>
  <DocSecurity>0</DocSecurity>
  <Lines>58</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8269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2023-03-17T07:28:00Z</dcterms:created>
  <dcterms:modified xsi:type="dcterms:W3CDTF">2025-12-25T12:39:00Z</dcterms:modified>
</cp:coreProperties>
</file>