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EE" w:rsidRDefault="009E6CEE" w:rsidP="00A833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3E0" w:rsidRPr="003D3D54" w:rsidRDefault="00A833E0" w:rsidP="00A833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</w:t>
      </w:r>
      <w:r w:rsidRPr="003D3D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ЗАКУПІВЛІ, РОЗМІРУ БЮДЖЕТНОГО ПРИЗНАЧЕННЯ, ОЧІКУВАНОЇ</w:t>
      </w:r>
      <w:r w:rsidRPr="003D3D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ВАРТОСТІ ПРЕДМЕТА ЗАКУПІВЛІ</w:t>
      </w:r>
    </w:p>
    <w:p w:rsidR="00A833E0" w:rsidRPr="003D3D54" w:rsidRDefault="00A833E0" w:rsidP="003D3D5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385FAE"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Кропивницька митниця; вул. Лавандова 27-б, м. Кропивницький, 25030; код за ЄДРПОУ – 44005668; категорія замовника – орган державної  влади.</w:t>
      </w:r>
    </w:p>
    <w:p w:rsidR="00A833E0" w:rsidRPr="003D3D54" w:rsidRDefault="00A833E0" w:rsidP="003D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 Предмет закупівлі: </w:t>
      </w:r>
      <w:bookmarkStart w:id="0" w:name="_Hlk123216392"/>
      <w:r w:rsidR="00C2781E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Послуги користування SIP-телефонією</w:t>
      </w:r>
      <w:r w:rsidR="00E133CF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bookmarkEnd w:id="0"/>
      <w:r w:rsidR="00E133CF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кодом ДК 021:2015 64210000-1 «Послуги телефонного зв’язку  та передачі даних» (64215000-6</w:t>
      </w:r>
      <w:r w:rsidR="00E133CF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E133CF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«Послуги  </w:t>
      </w:r>
      <w:proofErr w:type="spellStart"/>
      <w:r w:rsidR="00E133CF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ІР-телефонії</w:t>
      </w:r>
      <w:proofErr w:type="spellEnd"/>
      <w:r w:rsidR="00E133CF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»)</w:t>
      </w:r>
      <w:r w:rsidR="00385FAE"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5FAE" w:rsidRPr="003D3D54" w:rsidRDefault="00385FAE" w:rsidP="003D3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3E0" w:rsidRPr="003D3D54" w:rsidRDefault="00A833E0" w:rsidP="003D3D5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proofErr w:type="spellStart"/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доцільності закупівлі</w:t>
      </w:r>
      <w:r w:rsidR="00927D19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133CF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781E"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133CF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ля забезпечення функціонування Кропивницької митниці та виконання делегованих їй окремих повноважень Держмитслужби, визначених у Положенні про Кропивницьку митницю, забезпечення митниці користуванням телефонним зв’язком, необхідно здійснити закупівлю послуги з користуван</w:t>
      </w:r>
      <w:r w:rsidR="00C2781E" w:rsidRPr="003D3D54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 телефонним зв’язком.</w:t>
      </w:r>
    </w:p>
    <w:p w:rsidR="00A833E0" w:rsidRPr="003D3D54" w:rsidRDefault="00A833E0" w:rsidP="003D3D5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proofErr w:type="spellStart"/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обсягів закупівлі</w:t>
      </w:r>
      <w:r w:rsidR="00927D19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133CF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781E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E133CF"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акупівля мінімального пакету послуг.</w:t>
      </w:r>
    </w:p>
    <w:p w:rsidR="00E133CF" w:rsidRPr="003D3D54" w:rsidRDefault="00927D19" w:rsidP="003D3D54">
      <w:pPr>
        <w:tabs>
          <w:tab w:val="left" w:pos="1134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Обґрунтування технічних та якісних характеристик предмета закупівлі:</w:t>
      </w:r>
      <w:r w:rsidR="00E133CF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3D54" w:rsidRPr="003D3D54" w:rsidRDefault="003D3D54" w:rsidP="003D3D54">
      <w:pPr>
        <w:numPr>
          <w:ilvl w:val="3"/>
          <w:numId w:val="4"/>
        </w:numPr>
        <w:tabs>
          <w:tab w:val="left" w:pos="1134"/>
        </w:tabs>
        <w:suppressAutoHyphens/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Загальні вимоги: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Послуги </w:t>
      </w: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телефонного зв’язку та передачі даних</w:t>
      </w: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повинні надаватися відповідно до чинних в Україні законодавчих та нормативних актів, зокрема:</w:t>
      </w:r>
    </w:p>
    <w:p w:rsidR="003D3D54" w:rsidRPr="003D3D54" w:rsidRDefault="003D3D54" w:rsidP="003D3D5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 України «Про електронні комунікації»;</w:t>
      </w:r>
    </w:p>
    <w:p w:rsidR="003D3D54" w:rsidRPr="003D3D54" w:rsidRDefault="003D3D54" w:rsidP="003D3D54">
      <w:pPr>
        <w:numPr>
          <w:ilvl w:val="0"/>
          <w:numId w:val="3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Указу Президента України «Про деякі заходи щодо захисту державних інформаційних ресурсів у мережах передачі даних» від 24 вересня 2001 р. № 891/2001; </w:t>
      </w:r>
    </w:p>
    <w:p w:rsidR="003D3D54" w:rsidRPr="003D3D54" w:rsidRDefault="003D3D54" w:rsidP="003D3D5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інформаційних, телекомунікаційних та інформаційно-телекомунікаційних системах, затвердженого наказом Адміністрації 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Держспецзв'язку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 10.06.2008 № 94, зареєстрованого в Міністерстві юстиції України 7 липня 2008 р. за № 603/15294;</w:t>
      </w:r>
    </w:p>
    <w:p w:rsidR="003D3D54" w:rsidRPr="003D3D54" w:rsidRDefault="003D3D54" w:rsidP="003D3D54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 надання та отримання телекомунікаційних послуг, затверджених постановою Кабінету Міністрів України від 11 квітня 2012 р. № 295, та інших нормативно-правових актів України у сфері електронних комунікацій.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постанови Кабінету Міністрів України від 19 червня 2019 р. </w:t>
      </w: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№ 518 «Про затвердження Загальних вимог до 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кіберзахисту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об’єктів критичної інфраструктури» для забезпечення 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відмовостійкості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об’єкта критичної інформаційної інфраструктури об’єкта критичної інфраструктури повинно здійснюватися (для об’єкта критичної інфраструктури, які надають свої послуги через Інтернет) зв’язок з Інтернетом з використанням двох та більше каналів передачі даних, які надаються різними операторами мережі передачі даних (провайдерами) (абзац сьомий пункту 38 Переліку базових вимог із забезпечення 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кіберзахисту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об’єктів критичної інфраструктури додатку до Загальних вимог).</w:t>
      </w:r>
    </w:p>
    <w:p w:rsidR="003D3D54" w:rsidRDefault="003D3D54" w:rsidP="003D3D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Місце надання послуг:</w:t>
      </w: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3D5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25030, м. Кропивницький, вул. Лавандова, 27-Б</w:t>
      </w: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6CEE" w:rsidRDefault="009E6CEE" w:rsidP="003D3D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CEE" w:rsidRDefault="009E6CEE" w:rsidP="003D3D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CEE" w:rsidRDefault="009E6CEE" w:rsidP="003D3D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6CEE" w:rsidRPr="003D3D54" w:rsidRDefault="009E6CEE" w:rsidP="003D3D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3D3D54" w:rsidRPr="003D3D54" w:rsidRDefault="003D3D54" w:rsidP="003D3D5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D54" w:rsidRPr="003D3D54" w:rsidRDefault="003D3D54" w:rsidP="003D3D54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Вимоги до послуги:</w:t>
      </w:r>
    </w:p>
    <w:p w:rsidR="003D3D54" w:rsidRPr="003D3D54" w:rsidRDefault="003D3D54" w:rsidP="003D3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left w:w="88" w:type="dxa"/>
        </w:tblCellMar>
        <w:tblLook w:val="00A0" w:firstRow="1" w:lastRow="0" w:firstColumn="1" w:lastColumn="0" w:noHBand="0" w:noVBand="0"/>
      </w:tblPr>
      <w:tblGrid>
        <w:gridCol w:w="523"/>
        <w:gridCol w:w="4543"/>
        <w:gridCol w:w="4769"/>
      </w:tblGrid>
      <w:tr w:rsidR="003D3D54" w:rsidRPr="003D3D54" w:rsidTr="00843033">
        <w:trPr>
          <w:trHeight w:val="727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характеристик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</w:t>
            </w:r>
          </w:p>
        </w:tc>
      </w:tr>
      <w:tr w:rsidR="003D3D54" w:rsidRPr="003D3D54" w:rsidTr="00843033">
        <w:trPr>
          <w:trHeight w:val="70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Технологія послуг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телефонія з послугою «Віртуальна АТС»</w:t>
            </w:r>
          </w:p>
        </w:tc>
      </w:tr>
      <w:tr w:rsidR="003D3D54" w:rsidRPr="003D3D54" w:rsidTr="00843033">
        <w:trPr>
          <w:trHeight w:val="70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Загальна кількість зовнішніх номерів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D3D54" w:rsidRPr="003D3D54" w:rsidTr="00843033">
        <w:trPr>
          <w:trHeight w:val="70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внутрішніх ліній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3D5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шт.</w:t>
            </w:r>
          </w:p>
        </w:tc>
      </w:tr>
      <w:tr w:rsidR="003D3D54" w:rsidRPr="003D3D54" w:rsidTr="00843033">
        <w:trPr>
          <w:trHeight w:val="421"/>
        </w:trPr>
        <w:tc>
          <w:tcPr>
            <w:tcW w:w="5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Нетарифіковані</w:t>
            </w:r>
            <w:proofErr w:type="spellEnd"/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хвилини на дзвінки на всі національні напрями (хвилин)</w:t>
            </w:r>
          </w:p>
        </w:tc>
        <w:tc>
          <w:tcPr>
            <w:tcW w:w="46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хв.</w:t>
            </w:r>
          </w:p>
        </w:tc>
      </w:tr>
      <w:tr w:rsidR="003D3D54" w:rsidRPr="003D3D54" w:rsidTr="00843033">
        <w:trPr>
          <w:trHeight w:val="421"/>
        </w:trPr>
        <w:tc>
          <w:tcPr>
            <w:tcW w:w="5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4" w:rsidRPr="003D3D54" w:rsidTr="00843033">
        <w:trPr>
          <w:trHeight w:val="298"/>
        </w:trPr>
        <w:tc>
          <w:tcPr>
            <w:tcW w:w="5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4" w:rsidRPr="003D3D54" w:rsidTr="00843033">
        <w:trPr>
          <w:trHeight w:val="326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Обладнання Замовника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IP-апарати </w:t>
            </w:r>
            <w:proofErr w:type="spellStart"/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Cisco</w:t>
            </w:r>
            <w:proofErr w:type="spellEnd"/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CP-3905</w:t>
            </w:r>
          </w:p>
        </w:tc>
      </w:tr>
      <w:tr w:rsidR="003D3D54" w:rsidRPr="003D3D54" w:rsidTr="00843033">
        <w:trPr>
          <w:trHeight w:val="218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Технологія підключення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SIP </w:t>
            </w:r>
          </w:p>
        </w:tc>
      </w:tr>
      <w:tr w:rsidR="003D3D54" w:rsidRPr="003D3D54" w:rsidTr="00843033">
        <w:trPr>
          <w:trHeight w:val="222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Технологія з’єднання обладнання Замовника з обладнанням Учасника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Ethernet</w:t>
            </w:r>
            <w:proofErr w:type="spellEnd"/>
          </w:p>
        </w:tc>
      </w:tr>
      <w:tr w:rsidR="003D3D54" w:rsidRPr="003D3D54" w:rsidTr="00843033">
        <w:trPr>
          <w:trHeight w:val="499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Тип </w:t>
            </w:r>
            <w:proofErr w:type="spellStart"/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кодеків</w:t>
            </w:r>
            <w:proofErr w:type="spellEnd"/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що підтримуються мережевим обладнанням Замовника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G.711a</w:t>
            </w:r>
          </w:p>
          <w:p w:rsidR="003D3D54" w:rsidRPr="003D3D54" w:rsidRDefault="003D3D54" w:rsidP="003D3D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G.711μ</w:t>
            </w:r>
          </w:p>
          <w:p w:rsidR="003D3D54" w:rsidRPr="003D3D54" w:rsidRDefault="003D3D54" w:rsidP="003D3D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G.729</w:t>
            </w:r>
          </w:p>
          <w:p w:rsidR="003D3D54" w:rsidRPr="003D3D54" w:rsidRDefault="003D3D54" w:rsidP="003D3D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G.729a</w:t>
            </w:r>
          </w:p>
          <w:p w:rsidR="003D3D54" w:rsidRPr="003D3D54" w:rsidRDefault="003D3D54" w:rsidP="003D3D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G.729ab</w:t>
            </w:r>
          </w:p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D54" w:rsidRPr="003D3D54" w:rsidTr="00843033">
        <w:trPr>
          <w:trHeight w:val="242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1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Тип протоколів SIP, що підтримуються мережевим обладнанням Замовника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1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SIP RFC 3261, SIP RFC 2327</w:t>
            </w:r>
          </w:p>
        </w:tc>
      </w:tr>
      <w:tr w:rsidR="003D3D54" w:rsidRPr="003D3D54" w:rsidTr="00843033">
        <w:trPr>
          <w:trHeight w:val="713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Час відгуку служби технічної підтримки Учасника на аварійні ситуації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більше 30 хвилин</w:t>
            </w:r>
          </w:p>
        </w:tc>
      </w:tr>
      <w:tr w:rsidR="003D3D54" w:rsidRPr="003D3D54" w:rsidTr="00843033">
        <w:trPr>
          <w:trHeight w:val="70"/>
        </w:trPr>
        <w:tc>
          <w:tcPr>
            <w:tcW w:w="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D3D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Час відновлення надання послуг у разі аварійної ситуації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більше 1 години у робочий час.</w:t>
            </w:r>
          </w:p>
          <w:p w:rsidR="003D3D54" w:rsidRPr="003D3D54" w:rsidRDefault="003D3D54" w:rsidP="003D3D5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більше 4 годин у неробочий час.</w:t>
            </w:r>
          </w:p>
        </w:tc>
      </w:tr>
    </w:tbl>
    <w:p w:rsidR="003D3D54" w:rsidRPr="003D3D54" w:rsidRDefault="003D3D54" w:rsidP="003D3D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Налаштування IP-апаратів для підключення до «Віртуальної АТС».  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Груповий розподіл дзвінків.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Групове перехоплення дзвінків.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Переведення дзвінка.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Налаштування зовнішньої і внутрішньої маршрутизації дзвінків за часом.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Налаштування маршрутизації вихідного зв'язку.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обмеженням вхідних дзвінків (Чорний список).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обмеженням вихідних дзвінків.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через </w:t>
      </w:r>
      <w:proofErr w:type="spellStart"/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</w:t>
      </w:r>
      <w:proofErr w:type="spellEnd"/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Історія дзвінків на </w:t>
      </w:r>
      <w:proofErr w:type="spellStart"/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Веб-порталі</w:t>
      </w:r>
      <w:proofErr w:type="spellEnd"/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Повний набір послуг типових для </w:t>
      </w:r>
      <w:proofErr w:type="spellStart"/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міні-АТС</w:t>
      </w:r>
      <w:proofErr w:type="spellEnd"/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D54" w:rsidRPr="003D3D54" w:rsidRDefault="003D3D54" w:rsidP="003D3D54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 розмов з можливістю прослуховування в особистому кабінеті.</w:t>
      </w:r>
    </w:p>
    <w:p w:rsidR="003D3D54" w:rsidRPr="003D3D54" w:rsidRDefault="003D3D54" w:rsidP="003D3D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D3D54" w:rsidRPr="003D3D54" w:rsidRDefault="003D3D54" w:rsidP="003D3D5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Вимоги до операторського та технічного супроводження.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Виконавець</w:t>
      </w:r>
      <w:r w:rsidRPr="003D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бути включений до Реєстру постачальників електронних комунікаційних мереж та послуг, затвердженого Постановою Національної комісії, що здійснює регулювання у сферах електронних комунікацій, радіочастотного спектра та надання послуг поштового зв’язку (далі НКЕК) від 20.04.2022 № 30 «Питання ведення реєстру постачальників електронних комунікаційних мереж та послуг»</w:t>
      </w: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Виконавець повинен мати власний Центр технічної підтримки що працює в режимі: 24х7х365 (цілодобово (00:00-24:00) з понеділка по неділю включно, 365 днів на рік з можливістю звернення по телефону, через веб-сайт, електронну пошту (e-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Виконавець повинен надати Замовнику перелік телефонів, веб-сайт та електронну пошту (e-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Центру технічної підтримки протягом 2-х календарних днів з моменту підписання Договору. 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 (повідомлення) Замовника повинно обов’язково включати: найменування Замовника; ім'я, прізвище, контактний телефон особи, що звертається; причину звернення;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підставі звернення (повідомлення) Замовника Виконавець формує заявку, що включає всі відомості, повідомлені Замовником;</w:t>
      </w:r>
    </w:p>
    <w:p w:rsidR="003D3D54" w:rsidRPr="003D3D54" w:rsidRDefault="003D3D54" w:rsidP="003D3D54">
      <w:pPr>
        <w:tabs>
          <w:tab w:val="left" w:pos="1134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3D54" w:rsidRPr="003D3D54" w:rsidRDefault="003D3D54" w:rsidP="003D3D54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та строки усунення інцидентів: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Відсутність надання послуг протягом 30 хвилин вважається інцидентом;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випадку виникнення інцидентів Виконавець негайно повідомляє про це представників технічної підтримки Замовника по телефону та засобами електронної пошти</w:t>
      </w: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(e-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випадку, якщо інцидент виявлено Замовником, останній негайно повідомляє про це представників технічної підтримки Виконавця по телефону та засобами електронної пошти (e-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Початком періоду інциденту вважається отримання Виконавцем від Замовника повідомлення про інцидент або повідомлення Виконавцем Замовника по телефону та засобами електронної пошти (e-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 усунення інцидентів, які виникли з вини Виконавця не повинен перевищувати 2-х годин у робочий час і не більше 4 годин у неробочий час;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та строки усунення інцидентів, що виникли з вини Замовника, погоджується Сторонами в кожному окремому випадку;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Завершенням періоду інциденту вважається час фактичного усунення інциденту та відновлення Послуг;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факт відновлення Послуг Виконавець повідомляє Замовника по телефону та дублює повідомлення на електронну пошту (e-</w:t>
      </w:r>
      <w:proofErr w:type="spellStart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 повідомлення Виконавця Замовник підтверджує чи не підтверджує факт відновлення надання Послуг;</w:t>
      </w:r>
    </w:p>
    <w:p w:rsidR="003D3D54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 має право отримувати інформацію про хід виконання робіт по відновленню Послуг шляхом звернення до представників технічної підтримки Виконавця;</w:t>
      </w:r>
    </w:p>
    <w:p w:rsidR="00E133CF" w:rsidRPr="003D3D54" w:rsidRDefault="003D3D54" w:rsidP="003D3D54">
      <w:pPr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надходженні заявки про інцидент (відсутність Послуги з вини Виконавця) при перевищені строку відновлення надання Послуги понад нормований час повинно бути припинене нарахування абонентської плати за період з моменту подачі заявки до відновлення надання Послуги у повному обсязі.</w:t>
      </w:r>
    </w:p>
    <w:p w:rsidR="00927D19" w:rsidRPr="003D3D54" w:rsidRDefault="00927D19" w:rsidP="003D3D5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6.Обгрунтування бюджетного призначення та/або очікувано</w:t>
      </w:r>
      <w:r w:rsidR="00272DF1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ї вартості предмета закупівлі. </w:t>
      </w:r>
      <w:r w:rsidR="00E75129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1AC7"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3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133CF" w:rsidRPr="003D3D54" w:rsidRDefault="00E133CF" w:rsidP="003D3D54">
      <w:pPr>
        <w:spacing w:after="0" w:line="240" w:lineRule="auto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D3D54">
        <w:rPr>
          <w:rFonts w:ascii="Times New Roman" w:hAnsi="Times New Roman" w:cs="Times New Roman"/>
          <w:sz w:val="24"/>
          <w:szCs w:val="24"/>
        </w:rPr>
        <w:t xml:space="preserve">Вартість предмету закупівлі послуги </w:t>
      </w:r>
      <w:r w:rsidRPr="003D3D5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телефонного зв’язку та передачі даних (Послуги</w:t>
      </w:r>
      <w:r w:rsidRPr="003D3D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D54">
        <w:rPr>
          <w:rFonts w:ascii="Times New Roman" w:hAnsi="Times New Roman" w:cs="Times New Roman"/>
          <w:sz w:val="24"/>
          <w:szCs w:val="24"/>
        </w:rPr>
        <w:t>Віртуальної АТС</w:t>
      </w:r>
      <w:r w:rsidRPr="003D3D5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r w:rsidRPr="003D3D54">
        <w:rPr>
          <w:rStyle w:val="a5"/>
          <w:rFonts w:ascii="Times New Roman" w:hAnsi="Times New Roman" w:cs="Times New Roman"/>
          <w:color w:val="000000"/>
          <w:sz w:val="24"/>
          <w:szCs w:val="24"/>
          <w:lang w:val="en-US" w:eastAsia="uk-UA"/>
        </w:rPr>
        <w:t>S</w:t>
      </w:r>
      <w:proofErr w:type="spellStart"/>
      <w:r w:rsidRPr="003D3D5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ІР-телефонія</w:t>
      </w:r>
      <w:proofErr w:type="spellEnd"/>
      <w:r w:rsidRPr="003D3D54">
        <w:rPr>
          <w:rStyle w:val="a5"/>
          <w:rFonts w:ascii="Times New Roman" w:hAnsi="Times New Roman" w:cs="Times New Roman"/>
          <w:color w:val="000000"/>
          <w:sz w:val="24"/>
          <w:szCs w:val="24"/>
          <w:lang w:eastAsia="uk-UA"/>
        </w:rPr>
        <w:t>))</w:t>
      </w:r>
      <w:r w:rsidRPr="003D3D54">
        <w:rPr>
          <w:rFonts w:ascii="Times New Roman" w:hAnsi="Times New Roman" w:cs="Times New Roman"/>
          <w:sz w:val="24"/>
          <w:szCs w:val="24"/>
        </w:rPr>
        <w:t xml:space="preserve"> (далі - Послуги) розрахована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C2781E" w:rsidRPr="003D3D54" w:rsidRDefault="00C2781E" w:rsidP="003D3D54">
      <w:pPr>
        <w:spacing w:after="0" w:line="240" w:lineRule="auto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D3D54">
        <w:rPr>
          <w:rFonts w:ascii="Times New Roman" w:hAnsi="Times New Roman" w:cs="Times New Roman"/>
          <w:sz w:val="24"/>
          <w:szCs w:val="24"/>
        </w:rPr>
        <w:t>Очікувана вартість предмета закупівлі: 6</w:t>
      </w:r>
      <w:r w:rsidR="003D3D54">
        <w:rPr>
          <w:rFonts w:ascii="Times New Roman" w:hAnsi="Times New Roman" w:cs="Times New Roman"/>
          <w:sz w:val="24"/>
          <w:szCs w:val="24"/>
        </w:rPr>
        <w:t xml:space="preserve"> 00</w:t>
      </w:r>
      <w:r w:rsidRPr="003D3D54">
        <w:rPr>
          <w:rFonts w:ascii="Times New Roman" w:hAnsi="Times New Roman" w:cs="Times New Roman"/>
          <w:sz w:val="24"/>
          <w:szCs w:val="24"/>
        </w:rPr>
        <w:t>0,00 грн. з ПДВ.</w:t>
      </w:r>
    </w:p>
    <w:p w:rsidR="00E133CF" w:rsidRPr="003D3D54" w:rsidRDefault="003D3D54" w:rsidP="003D3D54">
      <w:pPr>
        <w:spacing w:after="0" w:line="240" w:lineRule="auto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D3D54">
        <w:rPr>
          <w:rFonts w:ascii="Times New Roman" w:hAnsi="Times New Roman" w:cs="Times New Roman"/>
          <w:sz w:val="24"/>
          <w:szCs w:val="24"/>
        </w:rPr>
        <w:t>Для розрахунків очікуваної вартості забезпечення Кропивницької митниці Віртуальною АТС (</w:t>
      </w:r>
      <w:proofErr w:type="spellStart"/>
      <w:r w:rsidRPr="003D3D54">
        <w:rPr>
          <w:rFonts w:ascii="Times New Roman" w:hAnsi="Times New Roman" w:cs="Times New Roman"/>
          <w:sz w:val="24"/>
          <w:szCs w:val="24"/>
        </w:rPr>
        <w:t>SІР-телефонією</w:t>
      </w:r>
      <w:proofErr w:type="spellEnd"/>
      <w:r w:rsidRPr="003D3D54">
        <w:rPr>
          <w:rFonts w:ascii="Times New Roman" w:hAnsi="Times New Roman" w:cs="Times New Roman"/>
          <w:sz w:val="24"/>
          <w:szCs w:val="24"/>
        </w:rPr>
        <w:t>) були використано інформацію про вартість аналогічних послуг, які розміщені на відповідних ресурсах мережі Інтернет та зазначені у комерційних пропозиціях</w:t>
      </w:r>
      <w:r w:rsidR="003C3964" w:rsidRPr="003D3D54">
        <w:rPr>
          <w:rFonts w:ascii="Times New Roman" w:hAnsi="Times New Roman" w:cs="Times New Roman"/>
          <w:sz w:val="24"/>
          <w:szCs w:val="24"/>
        </w:rPr>
        <w:t>.</w:t>
      </w:r>
    </w:p>
    <w:p w:rsidR="003C3964" w:rsidRDefault="003C3964" w:rsidP="003D3D54">
      <w:pPr>
        <w:spacing w:after="0" w:line="240" w:lineRule="auto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D3D54">
        <w:rPr>
          <w:rFonts w:ascii="Times New Roman" w:hAnsi="Times New Roman" w:cs="Times New Roman"/>
          <w:sz w:val="24"/>
          <w:szCs w:val="24"/>
        </w:rPr>
        <w:t>Розмір бюджетного призначення для предмета закупівлі відповідає розрахунку видатків до кошторису Кропивницької митниці на 202</w:t>
      </w:r>
      <w:r w:rsidR="003D3D54">
        <w:rPr>
          <w:rFonts w:ascii="Times New Roman" w:hAnsi="Times New Roman" w:cs="Times New Roman"/>
          <w:sz w:val="24"/>
          <w:szCs w:val="24"/>
        </w:rPr>
        <w:t>6</w:t>
      </w:r>
      <w:r w:rsidRPr="003D3D54">
        <w:rPr>
          <w:rFonts w:ascii="Times New Roman" w:hAnsi="Times New Roman" w:cs="Times New Roman"/>
          <w:sz w:val="24"/>
          <w:szCs w:val="24"/>
        </w:rPr>
        <w:t xml:space="preserve"> рік за КПКВ 3506010 «Керівництво та управління у сфері митної політики»; за КЕКВ 2240 «Оплата послуг (крім комунальних)».</w:t>
      </w:r>
    </w:p>
    <w:p w:rsidR="00BF0D70" w:rsidRDefault="00BF0D70" w:rsidP="003D3D54">
      <w:pPr>
        <w:spacing w:after="0" w:line="240" w:lineRule="auto"/>
        <w:ind w:right="4" w:firstLine="600"/>
        <w:jc w:val="both"/>
        <w:rPr>
          <w:rFonts w:ascii="Times New Roman" w:hAnsi="Times New Roman" w:cs="Times New Roman"/>
          <w:sz w:val="24"/>
          <w:szCs w:val="24"/>
        </w:rPr>
      </w:pPr>
    </w:p>
    <w:sectPr w:rsidR="00BF0D70" w:rsidSect="00E133CF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309"/>
    <w:multiLevelType w:val="multilevel"/>
    <w:tmpl w:val="C5F24A9E"/>
    <w:lvl w:ilvl="0">
      <w:start w:val="1"/>
      <w:numFmt w:val="decimal"/>
      <w:lvlText w:val="%1."/>
      <w:lvlJc w:val="left"/>
      <w:pPr>
        <w:tabs>
          <w:tab w:val="num" w:pos="426"/>
        </w:tabs>
        <w:ind w:left="816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-2551"/>
        </w:tabs>
        <w:ind w:left="2564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40" w:hanging="1800"/>
      </w:pPr>
      <w:rPr>
        <w:color w:val="000000"/>
      </w:rPr>
    </w:lvl>
  </w:abstractNum>
  <w:abstractNum w:abstractNumId="1">
    <w:nsid w:val="37DC22CC"/>
    <w:multiLevelType w:val="hybridMultilevel"/>
    <w:tmpl w:val="3CFCFA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A0EDC"/>
    <w:multiLevelType w:val="multilevel"/>
    <w:tmpl w:val="68F2A6BC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nsid w:val="68031481"/>
    <w:multiLevelType w:val="hybridMultilevel"/>
    <w:tmpl w:val="1DAEE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D4E89"/>
    <w:multiLevelType w:val="multilevel"/>
    <w:tmpl w:val="5E0EC6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EC"/>
    <w:rsid w:val="00272DF1"/>
    <w:rsid w:val="00385FAE"/>
    <w:rsid w:val="003C3964"/>
    <w:rsid w:val="003D3D54"/>
    <w:rsid w:val="0051397C"/>
    <w:rsid w:val="008A2E89"/>
    <w:rsid w:val="00927D19"/>
    <w:rsid w:val="009E6CEE"/>
    <w:rsid w:val="00A833E0"/>
    <w:rsid w:val="00BF0D70"/>
    <w:rsid w:val="00C2781E"/>
    <w:rsid w:val="00CA72EC"/>
    <w:rsid w:val="00D920C5"/>
    <w:rsid w:val="00DA1AC7"/>
    <w:rsid w:val="00E133CF"/>
    <w:rsid w:val="00E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у Знак"/>
    <w:link w:val="a3"/>
    <w:uiPriority w:val="1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833E0"/>
    <w:pPr>
      <w:ind w:left="720"/>
      <w:contextualSpacing/>
    </w:pPr>
  </w:style>
  <w:style w:type="character" w:customStyle="1" w:styleId="a5">
    <w:name w:val="Другое_"/>
    <w:link w:val="a6"/>
    <w:locked/>
    <w:rsid w:val="00E133CF"/>
    <w:rPr>
      <w:sz w:val="26"/>
      <w:szCs w:val="26"/>
    </w:rPr>
  </w:style>
  <w:style w:type="paragraph" w:customStyle="1" w:styleId="a6">
    <w:name w:val="Другое"/>
    <w:basedOn w:val="a"/>
    <w:link w:val="a5"/>
    <w:rsid w:val="00E133CF"/>
    <w:pPr>
      <w:widowControl w:val="0"/>
      <w:spacing w:after="0" w:line="240" w:lineRule="auto"/>
      <w:ind w:firstLine="400"/>
    </w:pPr>
    <w:rPr>
      <w:sz w:val="26"/>
      <w:szCs w:val="26"/>
    </w:rPr>
  </w:style>
  <w:style w:type="character" w:customStyle="1" w:styleId="a4">
    <w:name w:val="Абзац списку Знак"/>
    <w:link w:val="a3"/>
    <w:uiPriority w:val="1"/>
    <w:locked/>
    <w:rsid w:val="00E133CF"/>
  </w:style>
  <w:style w:type="paragraph" w:styleId="a7">
    <w:name w:val="Body Text"/>
    <w:basedOn w:val="a"/>
    <w:link w:val="a8"/>
    <w:uiPriority w:val="99"/>
    <w:unhideWhenUsed/>
    <w:rsid w:val="00E133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E133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5249</Words>
  <Characters>2993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Давидченко Світлана Олександрівна</dc:creator>
  <cp:keywords/>
  <dc:description/>
  <cp:lastModifiedBy>Давидченко Світлана Олександрівна</cp:lastModifiedBy>
  <cp:revision>8</cp:revision>
  <dcterms:created xsi:type="dcterms:W3CDTF">2025-02-04T14:07:00Z</dcterms:created>
  <dcterms:modified xsi:type="dcterms:W3CDTF">2026-01-30T12:08:00Z</dcterms:modified>
</cp:coreProperties>
</file>