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Default="0003718E" w:rsidP="0003718E">
      <w:pPr>
        <w:rPr>
          <w:rFonts w:eastAsia="Times New Roman" w:cs="Times New Roman"/>
          <w:color w:val="000000"/>
          <w:sz w:val="24"/>
          <w:szCs w:val="24"/>
          <w:lang w:eastAsia="uk-UA"/>
        </w:rPr>
      </w:pPr>
    </w:p>
    <w:p w:rsidR="0003718E" w:rsidRPr="00DD27E5" w:rsidRDefault="0003718E" w:rsidP="0003718E">
      <w:pPr>
        <w:jc w:val="center"/>
        <w:rPr>
          <w:rFonts w:eastAsia="Times New Roman" w:cs="Times New Roman"/>
          <w:b/>
          <w:sz w:val="24"/>
          <w:szCs w:val="24"/>
          <w:lang w:eastAsia="uk-UA"/>
        </w:rPr>
      </w:pPr>
      <w:r w:rsidRPr="00DD27E5">
        <w:rPr>
          <w:rFonts w:eastAsia="Times New Roman" w:cs="Times New Roman"/>
          <w:b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527AD" w:rsidRPr="002B4A84" w:rsidRDefault="005527AD" w:rsidP="005527AD">
      <w:pPr>
        <w:spacing w:before="100" w:beforeAutospacing="1" w:after="100" w:afterAutospacing="1"/>
        <w:jc w:val="both"/>
        <w:rPr>
          <w:rStyle w:val="a6"/>
          <w:bCs/>
          <w:sz w:val="20"/>
          <w:szCs w:val="20"/>
        </w:rPr>
      </w:pPr>
      <w:r w:rsidRPr="002B4A84">
        <w:rPr>
          <w:rStyle w:val="a6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DD27E5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4"/>
          <w:szCs w:val="24"/>
          <w:u w:val="single"/>
          <w:lang w:eastAsia="uk-UA"/>
        </w:rPr>
      </w:pPr>
      <w:r w:rsidRPr="00F358F7">
        <w:rPr>
          <w:rStyle w:val="a6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DD27E5">
        <w:rPr>
          <w:rStyle w:val="a6"/>
          <w:b/>
          <w:bCs/>
          <w:sz w:val="24"/>
          <w:szCs w:val="24"/>
          <w:u w:val="single"/>
        </w:rPr>
        <w:t>Держмитслужба м. Київ , вул. Дегтярівська, 11г, ЄДРПОУ 43115923.</w:t>
      </w:r>
    </w:p>
    <w:p w:rsidR="005527AD" w:rsidRPr="006F557D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484A35">
        <w:rPr>
          <w:b/>
          <w:bCs/>
          <w:sz w:val="24"/>
          <w:szCs w:val="24"/>
        </w:rPr>
        <w:t>:</w:t>
      </w:r>
      <w:r w:rsidRPr="00484A35">
        <w:rPr>
          <w:sz w:val="24"/>
          <w:szCs w:val="24"/>
        </w:rPr>
        <w:t xml:space="preserve"> </w:t>
      </w:r>
      <w:r w:rsidRPr="006F557D">
        <w:rPr>
          <w:sz w:val="24"/>
          <w:szCs w:val="24"/>
          <w:u w:val="single"/>
          <w:lang w:val="en-US"/>
        </w:rPr>
        <w:t>UA</w:t>
      </w:r>
      <w:r w:rsidRPr="006F557D">
        <w:rPr>
          <w:sz w:val="24"/>
          <w:szCs w:val="24"/>
          <w:u w:val="single"/>
          <w:lang w:val="ru-RU"/>
        </w:rPr>
        <w:t>-202</w:t>
      </w:r>
      <w:r w:rsidR="00FA6E71">
        <w:rPr>
          <w:sz w:val="24"/>
          <w:szCs w:val="24"/>
          <w:u w:val="single"/>
          <w:lang w:val="ru-RU"/>
        </w:rPr>
        <w:t>6</w:t>
      </w:r>
      <w:r w:rsidRPr="006F557D">
        <w:rPr>
          <w:sz w:val="24"/>
          <w:szCs w:val="24"/>
          <w:u w:val="single"/>
          <w:lang w:val="ru-RU"/>
        </w:rPr>
        <w:t>-</w:t>
      </w:r>
      <w:r w:rsidR="005467FC">
        <w:rPr>
          <w:sz w:val="24"/>
          <w:szCs w:val="24"/>
          <w:u w:val="single"/>
        </w:rPr>
        <w:t>02</w:t>
      </w:r>
      <w:r w:rsidRPr="006F557D">
        <w:rPr>
          <w:sz w:val="24"/>
          <w:szCs w:val="24"/>
          <w:u w:val="single"/>
          <w:lang w:val="ru-RU"/>
        </w:rPr>
        <w:t>-</w:t>
      </w:r>
      <w:r w:rsidR="00E0356D">
        <w:rPr>
          <w:sz w:val="24"/>
          <w:szCs w:val="24"/>
          <w:u w:val="single"/>
        </w:rPr>
        <w:t>04</w:t>
      </w:r>
      <w:r w:rsidRPr="006F557D">
        <w:rPr>
          <w:sz w:val="24"/>
          <w:szCs w:val="24"/>
          <w:u w:val="single"/>
          <w:lang w:val="ru-RU"/>
        </w:rPr>
        <w:t>-</w:t>
      </w:r>
      <w:r w:rsidR="00E0356D">
        <w:rPr>
          <w:sz w:val="24"/>
          <w:szCs w:val="24"/>
          <w:u w:val="single"/>
          <w:lang w:val="ru-RU"/>
        </w:rPr>
        <w:t>006382</w:t>
      </w:r>
      <w:r w:rsidRPr="006F557D">
        <w:rPr>
          <w:sz w:val="24"/>
          <w:szCs w:val="24"/>
          <w:u w:val="single"/>
          <w:lang w:val="ru-RU"/>
        </w:rPr>
        <w:t>-</w:t>
      </w:r>
      <w:r w:rsidRPr="006F557D">
        <w:rPr>
          <w:sz w:val="24"/>
          <w:szCs w:val="24"/>
          <w:u w:val="single"/>
          <w:lang w:val="en-US"/>
        </w:rPr>
        <w:t>a</w:t>
      </w:r>
      <w:r w:rsidRPr="006F557D">
        <w:rPr>
          <w:sz w:val="24"/>
          <w:szCs w:val="24"/>
        </w:rPr>
        <w:t>.</w:t>
      </w:r>
    </w:p>
    <w:p w:rsidR="0003718E" w:rsidRDefault="0003718E" w:rsidP="0003718E"/>
    <w:p w:rsidR="0003718E" w:rsidRDefault="0003718E" w:rsidP="0003718E">
      <w:pPr>
        <w:pStyle w:val="a4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закупівель в Дер</w:t>
      </w:r>
      <w:r>
        <w:rPr>
          <w:rFonts w:cs="Times New Roman"/>
          <w:sz w:val="24"/>
          <w:szCs w:val="24"/>
        </w:rPr>
        <w:t>жавній митній службі України)).</w:t>
      </w:r>
    </w:p>
    <w:p w:rsidR="009B6ECD" w:rsidRDefault="009B6ECD" w:rsidP="009B6ECD">
      <w:pPr>
        <w:pStyle w:val="a4"/>
        <w:tabs>
          <w:tab w:val="left" w:pos="9072"/>
        </w:tabs>
        <w:ind w:left="0"/>
        <w:jc w:val="both"/>
        <w:rPr>
          <w:rFonts w:cs="Times New Roman"/>
          <w:sz w:val="24"/>
          <w:szCs w:val="24"/>
          <w:lang w:eastAsia="zh-CN"/>
        </w:rPr>
      </w:pPr>
    </w:p>
    <w:p w:rsidR="00E0356D" w:rsidRPr="00E0356D" w:rsidRDefault="0018781F" w:rsidP="00E0356D">
      <w:pPr>
        <w:ind w:firstLine="567"/>
        <w:jc w:val="both"/>
        <w:rPr>
          <w:sz w:val="24"/>
          <w:szCs w:val="24"/>
        </w:rPr>
      </w:pPr>
      <w:r w:rsidRPr="00E0356D">
        <w:rPr>
          <w:color w:val="000000"/>
          <w:sz w:val="24"/>
          <w:szCs w:val="24"/>
          <w:lang w:eastAsia="ru-RU"/>
        </w:rPr>
        <w:t>«</w:t>
      </w:r>
      <w:r w:rsidR="00E0356D" w:rsidRPr="00E0356D">
        <w:rPr>
          <w:sz w:val="24"/>
          <w:szCs w:val="24"/>
        </w:rPr>
        <w:t>Надання права використання примірників та пакетів оновлень (компонентів) комп’ютерних програм «M.E.Doc» (модулі «Звітність», «Корпорація» та «Електронний документообіг» – в частині реєстрації первинної документації) та «Звіт Корпорація», а також послуги з їх технічного та консультаційного супроводу за кодом ДК 021:2015 – 72260000-5 Послуги, пов’язані з програмним забезпеченням</w:t>
      </w:r>
      <w:r w:rsidR="00E0356D" w:rsidRPr="00E0356D">
        <w:rPr>
          <w:sz w:val="24"/>
          <w:szCs w:val="24"/>
        </w:rPr>
        <w:t>»</w:t>
      </w:r>
      <w:r w:rsidR="00E0356D" w:rsidRPr="00E0356D">
        <w:rPr>
          <w:sz w:val="24"/>
          <w:szCs w:val="24"/>
        </w:rPr>
        <w:t xml:space="preserve"> </w:t>
      </w:r>
    </w:p>
    <w:p w:rsidR="007E48A6" w:rsidRPr="0055505C" w:rsidRDefault="007E48A6" w:rsidP="0055505C">
      <w:pPr>
        <w:jc w:val="both"/>
        <w:outlineLvl w:val="0"/>
        <w:rPr>
          <w:rFonts w:eastAsia="Times New Roman"/>
          <w:sz w:val="24"/>
          <w:szCs w:val="24"/>
        </w:rPr>
      </w:pPr>
      <w:r w:rsidRPr="0055505C">
        <w:rPr>
          <w:rFonts w:eastAsia="Times New Roman"/>
          <w:sz w:val="24"/>
          <w:szCs w:val="24"/>
        </w:rPr>
        <w:t xml:space="preserve"> </w:t>
      </w:r>
    </w:p>
    <w:p w:rsidR="0003718E" w:rsidRDefault="00D56785" w:rsidP="007E48A6">
      <w:pPr>
        <w:tabs>
          <w:tab w:val="left" w:pos="9639"/>
        </w:tabs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03718E" w:rsidRPr="009D0146">
        <w:rPr>
          <w:rFonts w:cs="Times New Roman"/>
          <w:sz w:val="24"/>
          <w:szCs w:val="24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</w:t>
      </w:r>
      <w:r w:rsidR="0003718E">
        <w:rPr>
          <w:rFonts w:cs="Times New Roman"/>
          <w:sz w:val="24"/>
          <w:szCs w:val="24"/>
        </w:rPr>
        <w:t>.</w:t>
      </w:r>
    </w:p>
    <w:p w:rsidR="0018781F" w:rsidRPr="00E0356D" w:rsidRDefault="00E0356D" w:rsidP="007E48A6">
      <w:pPr>
        <w:tabs>
          <w:tab w:val="left" w:pos="9639"/>
        </w:tabs>
        <w:ind w:firstLine="567"/>
        <w:jc w:val="both"/>
        <w:rPr>
          <w:rFonts w:cs="Times New Roman"/>
          <w:sz w:val="24"/>
          <w:szCs w:val="24"/>
        </w:rPr>
      </w:pPr>
      <w:r w:rsidRPr="00E0356D">
        <w:rPr>
          <w:rFonts w:eastAsia="Calibri" w:cs="Times New Roman"/>
          <w:sz w:val="24"/>
          <w:szCs w:val="24"/>
        </w:rPr>
        <w:t>необхідність складання статистичної, податкової, бюджетної, фінансової та відомчої звітності, її подання до відповідних органів; автоматизації процесу консолідації статистичної, бюджетної, фінансової та відомчої звітності територіальних органів Держмитслужби; можливість здійснення аналізу показників зведеної звітності, у тому числі у розрізі територіальних органів Держмитслужби</w:t>
      </w:r>
      <w:r>
        <w:rPr>
          <w:rFonts w:eastAsia="Calibri" w:cs="Times New Roman"/>
          <w:sz w:val="24"/>
          <w:szCs w:val="24"/>
        </w:rPr>
        <w:t>.</w:t>
      </w:r>
    </w:p>
    <w:p w:rsidR="0018781F" w:rsidRDefault="0018781F" w:rsidP="007E48A6">
      <w:pPr>
        <w:tabs>
          <w:tab w:val="left" w:pos="9639"/>
        </w:tabs>
        <w:ind w:firstLine="567"/>
        <w:jc w:val="both"/>
        <w:rPr>
          <w:rFonts w:cs="Times New Roman"/>
          <w:sz w:val="24"/>
          <w:szCs w:val="24"/>
        </w:rPr>
      </w:pPr>
    </w:p>
    <w:p w:rsidR="0003718E" w:rsidRPr="00D56785" w:rsidRDefault="00D56785" w:rsidP="00D56785">
      <w:pPr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</w:t>
      </w:r>
      <w:r w:rsidR="0003718E" w:rsidRPr="00D56785">
        <w:rPr>
          <w:rFonts w:cs="Times New Roman"/>
          <w:sz w:val="24"/>
          <w:szCs w:val="24"/>
        </w:rPr>
        <w:t>Обґрунтування обсягів закупівлі (відповідно до чого визначено обсяги закупівлі або підставі чого обраховано).</w:t>
      </w:r>
    </w:p>
    <w:p w:rsidR="0018781F" w:rsidRDefault="00E0356D" w:rsidP="0055505C">
      <w:pPr>
        <w:pStyle w:val="a7"/>
        <w:keepNext/>
        <w:tabs>
          <w:tab w:val="clear" w:pos="1134"/>
        </w:tabs>
        <w:spacing w:before="0"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356D">
        <w:rPr>
          <w:rFonts w:ascii="Times New Roman" w:eastAsiaTheme="minorHAnsi" w:hAnsi="Times New Roman" w:cs="Times New Roman"/>
          <w:sz w:val="24"/>
          <w:szCs w:val="24"/>
          <w:lang w:eastAsia="en-US"/>
        </w:rPr>
        <w:t>обсяг закупівлі визначено з урахуванням необхідності повноцінного використання програмного забезпечення протягом 2026 року.</w:t>
      </w:r>
    </w:p>
    <w:p w:rsidR="0055505C" w:rsidRPr="0055505C" w:rsidRDefault="009B5358" w:rsidP="0055505C">
      <w:pPr>
        <w:pStyle w:val="a7"/>
        <w:keepNext/>
        <w:tabs>
          <w:tab w:val="clear" w:pos="1134"/>
        </w:tabs>
        <w:spacing w:before="0" w:after="0"/>
        <w:rPr>
          <w:rFonts w:ascii="Times New Roman" w:hAnsi="Times New Roman" w:cs="Times New Roman"/>
          <w:b/>
          <w:sz w:val="24"/>
        </w:rPr>
      </w:pPr>
      <w:r w:rsidRPr="0055505C">
        <w:rPr>
          <w:rFonts w:ascii="Times New Roman" w:hAnsi="Times New Roman" w:cs="Times New Roman"/>
          <w:sz w:val="24"/>
          <w:szCs w:val="24"/>
        </w:rPr>
        <w:t>4.</w:t>
      </w:r>
      <w:r w:rsidR="0055505C" w:rsidRPr="0055505C">
        <w:rPr>
          <w:rFonts w:ascii="Times New Roman" w:hAnsi="Times New Roman" w:cs="Times New Roman"/>
          <w:sz w:val="24"/>
          <w:u w:val="single"/>
        </w:rPr>
        <w:t xml:space="preserve"> Обґрунтування технічних та якісних характеристик</w:t>
      </w:r>
      <w:r w:rsidR="0055505C" w:rsidRPr="0055505C">
        <w:rPr>
          <w:rFonts w:ascii="Times New Roman" w:hAnsi="Times New Roman" w:cs="Times New Roman"/>
          <w:sz w:val="24"/>
        </w:rPr>
        <w:t xml:space="preserve"> закупівлі (якісні характеристики визначено відповідно до наявної потреби Державної митної служби України у зазначених послугах  та з урахуванням загальноприйнятих норм і стандартів для зазначеного предмета закупівлі). Інформація про необхідні технічні, якісні та кількісні характеристики предмета закупівлі – технічні вимоги</w:t>
      </w:r>
      <w:r w:rsidR="00307378">
        <w:rPr>
          <w:rFonts w:ascii="Times New Roman" w:hAnsi="Times New Roman" w:cs="Times New Roman"/>
          <w:sz w:val="24"/>
        </w:rPr>
        <w:t>.</w:t>
      </w:r>
      <w:r w:rsidR="0055505C" w:rsidRPr="0055505C">
        <w:rPr>
          <w:rFonts w:ascii="Times New Roman" w:hAnsi="Times New Roman" w:cs="Times New Roman"/>
          <w:sz w:val="24"/>
        </w:rPr>
        <w:t xml:space="preserve"> </w:t>
      </w:r>
    </w:p>
    <w:p w:rsidR="0055505C" w:rsidRPr="0055505C" w:rsidRDefault="0055505C" w:rsidP="0055505C">
      <w:pPr>
        <w:pStyle w:val="a7"/>
        <w:tabs>
          <w:tab w:val="clear" w:pos="1134"/>
          <w:tab w:val="num" w:pos="851"/>
        </w:tabs>
        <w:spacing w:before="0" w:after="0"/>
        <w:ind w:firstLine="567"/>
        <w:rPr>
          <w:rFonts w:ascii="Times New Roman" w:hAnsi="Times New Roman" w:cs="Times New Roman"/>
          <w:b/>
          <w:sz w:val="24"/>
        </w:rPr>
      </w:pPr>
      <w:r w:rsidRPr="0055505C">
        <w:rPr>
          <w:rFonts w:ascii="Times New Roman" w:hAnsi="Times New Roman" w:cs="Times New Roman"/>
          <w:sz w:val="24"/>
          <w:u w:val="single"/>
        </w:rPr>
        <w:t>Очікувані результати:</w:t>
      </w:r>
      <w:r w:rsidRPr="0055505C">
        <w:rPr>
          <w:rFonts w:ascii="Times New Roman" w:hAnsi="Times New Roman" w:cs="Times New Roman"/>
          <w:sz w:val="24"/>
        </w:rPr>
        <w:t xml:space="preserve"> забезпечено </w:t>
      </w:r>
      <w:r w:rsidR="00E0356D" w:rsidRPr="00E0356D">
        <w:rPr>
          <w:rFonts w:ascii="Times New Roman" w:hAnsi="Times New Roman" w:cs="Times New Roman"/>
          <w:sz w:val="24"/>
        </w:rPr>
        <w:t>складання статистичної, податкової, бюджетної, фінансової та відомчої звітності, її подання до відповідних органів; автоматизації процесу консолідації статистичної, бюджетної, фінансової та відомчої звітності територіальних органів Держмитслужби</w:t>
      </w:r>
      <w:r w:rsidR="00E0356D">
        <w:rPr>
          <w:rFonts w:ascii="Times New Roman" w:hAnsi="Times New Roman" w:cs="Times New Roman"/>
          <w:sz w:val="24"/>
        </w:rPr>
        <w:t>.</w:t>
      </w:r>
    </w:p>
    <w:p w:rsidR="0055505C" w:rsidRPr="00496F3A" w:rsidRDefault="0055505C" w:rsidP="0055505C">
      <w:pPr>
        <w:pStyle w:val="a7"/>
        <w:tabs>
          <w:tab w:val="clear" w:pos="1134"/>
          <w:tab w:val="num" w:pos="851"/>
        </w:tabs>
        <w:spacing w:before="0" w:after="0"/>
        <w:ind w:left="567" w:firstLine="567"/>
        <w:rPr>
          <w:b/>
          <w:sz w:val="24"/>
        </w:rPr>
      </w:pPr>
    </w:p>
    <w:p w:rsidR="00307378" w:rsidRDefault="00307378" w:rsidP="0018781F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 w:rsidRPr="00307378">
        <w:rPr>
          <w:b/>
          <w:bCs/>
          <w:color w:val="000000" w:themeColor="text1"/>
          <w:sz w:val="24"/>
          <w:szCs w:val="24"/>
          <w:lang w:eastAsia="uk-UA"/>
        </w:rPr>
        <w:t xml:space="preserve">5. </w:t>
      </w:r>
      <w:r w:rsidRPr="00307378">
        <w:rPr>
          <w:rFonts w:ascii="TimesNewRomanPSMT" w:hAnsi="TimesNewRomanPSMT" w:cs="TimesNewRomanPSMT"/>
          <w:sz w:val="24"/>
          <w:szCs w:val="24"/>
        </w:rPr>
        <w:t>Обґрунтування очікуваної вартості закупівлі</w:t>
      </w:r>
      <w:r w:rsidR="00FA6E71">
        <w:rPr>
          <w:rFonts w:ascii="TimesNewRomanPSMT" w:hAnsi="TimesNewRomanPSMT" w:cs="TimesNewRomanPSMT"/>
          <w:sz w:val="24"/>
          <w:szCs w:val="24"/>
        </w:rPr>
        <w:t xml:space="preserve"> </w:t>
      </w:r>
      <w:r w:rsidR="00E0356D">
        <w:rPr>
          <w:rFonts w:ascii="TimesNewRomanPSMT" w:hAnsi="TimesNewRomanPSMT" w:cs="TimesNewRomanPSMT"/>
          <w:sz w:val="24"/>
          <w:szCs w:val="24"/>
        </w:rPr>
        <w:t>543 000,00</w:t>
      </w:r>
      <w:r w:rsidRPr="00307378">
        <w:rPr>
          <w:rFonts w:ascii="TimesNewRomanPSMT" w:hAnsi="TimesNewRomanPSMT" w:cs="TimesNewRomanPSMT"/>
          <w:sz w:val="24"/>
          <w:szCs w:val="24"/>
        </w:rPr>
        <w:t xml:space="preserve"> гривень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Pr="00307378">
        <w:rPr>
          <w:rFonts w:ascii="TimesNewRomanPSMT" w:hAnsi="TimesNewRomanPSMT" w:cs="TimesNewRomanPSMT"/>
          <w:sz w:val="24"/>
          <w:szCs w:val="24"/>
        </w:rPr>
        <w:t xml:space="preserve"> </w:t>
      </w:r>
      <w:r w:rsidR="0018781F" w:rsidRPr="0018781F">
        <w:rPr>
          <w:rFonts w:ascii="TimesNewRomanPSMT" w:hAnsi="TimesNewRomanPSMT" w:cs="TimesNewRomanPSMT"/>
          <w:sz w:val="24"/>
          <w:szCs w:val="24"/>
        </w:rPr>
        <w:t xml:space="preserve">Вартість послуг сформовано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р. № 275, а саме на підставі цінової пропозиції </w:t>
      </w:r>
      <w:r w:rsidR="00E0356D" w:rsidRPr="00E0356D">
        <w:rPr>
          <w:rFonts w:ascii="TimesNewRomanPSMT" w:hAnsi="TimesNewRomanPSMT" w:cs="TimesNewRomanPSMT"/>
          <w:sz w:val="24"/>
          <w:szCs w:val="24"/>
        </w:rPr>
        <w:t>ТОВ «Інтелект-</w:t>
      </w:r>
      <w:proofErr w:type="spellStart"/>
      <w:r w:rsidR="00E0356D" w:rsidRPr="00E0356D">
        <w:rPr>
          <w:rFonts w:ascii="TimesNewRomanPSMT" w:hAnsi="TimesNewRomanPSMT" w:cs="TimesNewRomanPSMT"/>
          <w:sz w:val="24"/>
          <w:szCs w:val="24"/>
        </w:rPr>
        <w:t>софт</w:t>
      </w:r>
      <w:proofErr w:type="spellEnd"/>
      <w:r w:rsidR="00E0356D" w:rsidRPr="00E0356D">
        <w:rPr>
          <w:rFonts w:ascii="TimesNewRomanPSMT" w:hAnsi="TimesNewRomanPSMT" w:cs="TimesNewRomanPSMT"/>
          <w:sz w:val="24"/>
          <w:szCs w:val="24"/>
        </w:rPr>
        <w:t>», ТОВ «СОФТ СОЛЮШНЗ» та ТОВ «Тві</w:t>
      </w:r>
      <w:r w:rsidR="00E0356D">
        <w:rPr>
          <w:rFonts w:ascii="TimesNewRomanPSMT" w:hAnsi="TimesNewRomanPSMT" w:cs="TimesNewRomanPSMT"/>
          <w:sz w:val="24"/>
          <w:szCs w:val="24"/>
        </w:rPr>
        <w:t xml:space="preserve">й Час» </w:t>
      </w:r>
      <w:r w:rsidR="0018781F" w:rsidRPr="0018781F">
        <w:rPr>
          <w:rFonts w:ascii="TimesNewRomanPSMT" w:hAnsi="TimesNewRomanPSMT" w:cs="TimesNewRomanPSMT"/>
          <w:sz w:val="24"/>
          <w:szCs w:val="24"/>
        </w:rPr>
        <w:t xml:space="preserve">та з урахуванням наявної потреби Замовника у забезпеченні безперервної </w:t>
      </w:r>
      <w:r w:rsidR="00E0356D">
        <w:rPr>
          <w:rFonts w:ascii="TimesNewRomanPSMT" w:hAnsi="TimesNewRomanPSMT" w:cs="TimesNewRomanPSMT"/>
          <w:sz w:val="24"/>
          <w:szCs w:val="24"/>
        </w:rPr>
        <w:t>роботи</w:t>
      </w:r>
      <w:r w:rsidR="00E0356D" w:rsidRPr="00E0356D">
        <w:t xml:space="preserve"> </w:t>
      </w:r>
      <w:r w:rsidR="00E0356D" w:rsidRPr="00E0356D">
        <w:rPr>
          <w:sz w:val="24"/>
          <w:szCs w:val="24"/>
        </w:rPr>
        <w:t>при</w:t>
      </w:r>
      <w:r w:rsidR="00E0356D">
        <w:t xml:space="preserve"> </w:t>
      </w:r>
      <w:r w:rsidR="00E0356D" w:rsidRPr="00E0356D">
        <w:rPr>
          <w:rFonts w:ascii="TimesNewRomanPSMT" w:hAnsi="TimesNewRomanPSMT" w:cs="TimesNewRomanPSMT"/>
          <w:sz w:val="24"/>
          <w:szCs w:val="24"/>
        </w:rPr>
        <w:t>складанн</w:t>
      </w:r>
      <w:r w:rsidR="00E0356D">
        <w:rPr>
          <w:rFonts w:ascii="TimesNewRomanPSMT" w:hAnsi="TimesNewRomanPSMT" w:cs="TimesNewRomanPSMT"/>
          <w:sz w:val="24"/>
          <w:szCs w:val="24"/>
        </w:rPr>
        <w:t>і</w:t>
      </w:r>
      <w:r w:rsidR="00E0356D" w:rsidRPr="00E0356D">
        <w:rPr>
          <w:rFonts w:ascii="TimesNewRomanPSMT" w:hAnsi="TimesNewRomanPSMT" w:cs="TimesNewRomanPSMT"/>
          <w:sz w:val="24"/>
          <w:szCs w:val="24"/>
        </w:rPr>
        <w:t xml:space="preserve"> статистичної, податкової, бюджетної, фінансової та відомчої звітності, її подання до відповідних органів</w:t>
      </w:r>
      <w:r w:rsidR="0018781F" w:rsidRPr="0018781F">
        <w:rPr>
          <w:rFonts w:ascii="TimesNewRomanPSMT" w:hAnsi="TimesNewRomanPSMT" w:cs="TimesNewRomanPSMT"/>
          <w:sz w:val="24"/>
          <w:szCs w:val="24"/>
        </w:rPr>
        <w:t>.</w:t>
      </w:r>
    </w:p>
    <w:p w:rsidR="00E0356D" w:rsidRDefault="00E0356D" w:rsidP="00E0356D">
      <w:pPr>
        <w:widowControl w:val="0"/>
        <w:ind w:firstLine="720"/>
        <w:jc w:val="center"/>
        <w:rPr>
          <w:rFonts w:eastAsia="Times New Roman" w:cs="Times New Roman"/>
          <w:b/>
          <w:szCs w:val="28"/>
          <w:lang w:eastAsia="uk-UA"/>
        </w:rPr>
      </w:pPr>
    </w:p>
    <w:p w:rsidR="00E0356D" w:rsidRPr="00E0356D" w:rsidRDefault="00E0356D" w:rsidP="00E0356D">
      <w:pPr>
        <w:widowControl w:val="0"/>
        <w:ind w:firstLine="720"/>
        <w:jc w:val="center"/>
        <w:rPr>
          <w:rFonts w:eastAsia="Times New Roman" w:cs="Times New Roman"/>
          <w:b/>
          <w:szCs w:val="28"/>
          <w:lang w:eastAsia="uk-UA"/>
        </w:rPr>
      </w:pPr>
      <w:r w:rsidRPr="00E0356D">
        <w:rPr>
          <w:rFonts w:eastAsia="Times New Roman" w:cs="Times New Roman"/>
          <w:b/>
          <w:szCs w:val="28"/>
          <w:lang w:eastAsia="uk-UA"/>
        </w:rPr>
        <w:lastRenderedPageBreak/>
        <w:t>ТЕХНІЧНІ ВИМОГИ НАДАННЯ ПОСЛУГ</w:t>
      </w:r>
    </w:p>
    <w:p w:rsidR="00E0356D" w:rsidRPr="00E0356D" w:rsidRDefault="00E0356D" w:rsidP="00E0356D">
      <w:pPr>
        <w:jc w:val="center"/>
        <w:rPr>
          <w:rFonts w:eastAsia="Times New Roman" w:cs="Times New Roman"/>
          <w:sz w:val="26"/>
          <w:szCs w:val="26"/>
          <w:shd w:val="clear" w:color="auto" w:fill="FFFFFF"/>
          <w:lang w:eastAsia="ru-RU"/>
        </w:rPr>
      </w:pPr>
      <w:r w:rsidRPr="00E0356D">
        <w:rPr>
          <w:rFonts w:eastAsia="Times New Roman" w:cs="Times New Roman"/>
          <w:sz w:val="26"/>
          <w:szCs w:val="26"/>
          <w:shd w:val="clear" w:color="auto" w:fill="FFFFFF"/>
          <w:lang w:eastAsia="ru-RU"/>
        </w:rPr>
        <w:t>з надання права використання примірників та пакетів оновлень (компонентів) комп’ютерних програм «M.E.Doc» (модулі «Звітність», «Корпорація» та «Електронний документообіг» – в частині реєстрації первинної документації) та «Звіт Корпорація», а також послуг з їх технічного</w:t>
      </w:r>
      <w:r w:rsidRPr="00E0356D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Pr="00E0356D">
        <w:rPr>
          <w:rFonts w:eastAsia="Times New Roman" w:cs="Times New Roman"/>
          <w:sz w:val="26"/>
          <w:szCs w:val="26"/>
          <w:shd w:val="clear" w:color="auto" w:fill="FFFFFF"/>
          <w:lang w:eastAsia="ru-RU"/>
        </w:rPr>
        <w:t>та консультаційного супроводу</w:t>
      </w:r>
    </w:p>
    <w:p w:rsidR="00E0356D" w:rsidRPr="00E0356D" w:rsidRDefault="00E0356D" w:rsidP="00E0356D">
      <w:pPr>
        <w:jc w:val="center"/>
        <w:rPr>
          <w:rFonts w:eastAsia="Times New Roman" w:cs="Times New Roman"/>
          <w:sz w:val="26"/>
          <w:szCs w:val="26"/>
          <w:shd w:val="clear" w:color="auto" w:fill="FFFFFF"/>
          <w:lang w:eastAsia="uk-UA"/>
        </w:rPr>
      </w:pPr>
      <w:r w:rsidRPr="00E0356D">
        <w:rPr>
          <w:rFonts w:eastAsia="Times New Roman" w:cs="Times New Roman"/>
          <w:sz w:val="26"/>
          <w:szCs w:val="26"/>
          <w:lang w:eastAsia="uk-UA"/>
        </w:rPr>
        <w:t>за кодом ДК 021:2015 – 72260000-5 Послуги, пов’язані з програмним забезпеченням</w:t>
      </w:r>
    </w:p>
    <w:p w:rsidR="00E0356D" w:rsidRPr="00E0356D" w:rsidRDefault="00E0356D" w:rsidP="00E0356D">
      <w:pPr>
        <w:jc w:val="center"/>
        <w:rPr>
          <w:rFonts w:eastAsia="Times New Roman" w:cs="Times New Roman"/>
          <w:sz w:val="24"/>
          <w:szCs w:val="24"/>
          <w:lang w:eastAsia="uk-UA"/>
        </w:rPr>
      </w:pPr>
    </w:p>
    <w:p w:rsidR="00E0356D" w:rsidRPr="00E0356D" w:rsidRDefault="00E0356D" w:rsidP="00E0356D">
      <w:pPr>
        <w:widowControl w:val="0"/>
        <w:numPr>
          <w:ilvl w:val="0"/>
          <w:numId w:val="35"/>
        </w:numPr>
        <w:tabs>
          <w:tab w:val="left" w:pos="851"/>
        </w:tabs>
        <w:ind w:left="-567" w:firstLine="851"/>
        <w:contextualSpacing/>
        <w:jc w:val="both"/>
        <w:rPr>
          <w:rFonts w:eastAsia="Calibri" w:cs="Times New Roman"/>
          <w:sz w:val="26"/>
          <w:szCs w:val="26"/>
          <w:lang w:eastAsia="uk-UA"/>
        </w:rPr>
      </w:pPr>
      <w:r w:rsidRPr="00E0356D">
        <w:rPr>
          <w:rFonts w:eastAsia="Calibri" w:cs="Times New Roman"/>
          <w:sz w:val="26"/>
          <w:szCs w:val="26"/>
          <w:lang w:eastAsia="uk-UA"/>
        </w:rPr>
        <w:t>Невиключне право Замовника на використання програмного забезпечення, яке він отримує відповідно до умов Договору, передбачає можливість використання програмного забезпечення в порядку і на умовах, передбачених Договором шляхом використання функціональних можливостей програмного забезпечення для формування електронної звітності Замовника, у тому числі приймання, обробки, консолідації електронної звітності територіальних органів/підзвітних організацій, підписання електронних документів шляхом накладення кваліфікованих електронних підписів, відправлення електронної звітності до відповідних інстанцій, формування аналітичної звітності.</w:t>
      </w:r>
    </w:p>
    <w:p w:rsidR="00E0356D" w:rsidRPr="00E0356D" w:rsidRDefault="00E0356D" w:rsidP="00E0356D">
      <w:pPr>
        <w:widowControl w:val="0"/>
        <w:numPr>
          <w:ilvl w:val="0"/>
          <w:numId w:val="35"/>
        </w:numPr>
        <w:tabs>
          <w:tab w:val="left" w:pos="851"/>
        </w:tabs>
        <w:ind w:left="0" w:firstLine="284"/>
        <w:contextualSpacing/>
        <w:jc w:val="both"/>
        <w:rPr>
          <w:rFonts w:eastAsia="Calibri" w:cs="Times New Roman"/>
          <w:sz w:val="26"/>
          <w:szCs w:val="26"/>
          <w:lang w:eastAsia="uk-UA"/>
        </w:rPr>
      </w:pPr>
      <w:r w:rsidRPr="00E0356D">
        <w:rPr>
          <w:rFonts w:eastAsia="Calibri" w:cs="Times New Roman"/>
          <w:sz w:val="26"/>
          <w:szCs w:val="26"/>
          <w:lang w:eastAsia="uk-UA"/>
        </w:rPr>
        <w:t>Виконавець повинен:</w:t>
      </w:r>
    </w:p>
    <w:p w:rsidR="00E0356D" w:rsidRPr="00E0356D" w:rsidRDefault="00E0356D" w:rsidP="00E0356D">
      <w:pPr>
        <w:widowControl w:val="0"/>
        <w:numPr>
          <w:ilvl w:val="1"/>
          <w:numId w:val="35"/>
        </w:numPr>
        <w:tabs>
          <w:tab w:val="left" w:pos="851"/>
        </w:tabs>
        <w:ind w:left="-567" w:firstLine="851"/>
        <w:contextualSpacing/>
        <w:jc w:val="both"/>
        <w:rPr>
          <w:rFonts w:eastAsia="Calibri" w:cs="Times New Roman"/>
          <w:sz w:val="25"/>
          <w:szCs w:val="25"/>
          <w:lang w:eastAsia="uk-UA"/>
        </w:rPr>
      </w:pPr>
      <w:r w:rsidRPr="00E0356D">
        <w:rPr>
          <w:rFonts w:eastAsia="Calibri" w:cs="Times New Roman"/>
          <w:color w:val="000000"/>
          <w:sz w:val="26"/>
          <w:szCs w:val="26"/>
          <w:lang w:eastAsia="uk-UA"/>
        </w:rPr>
        <w:t>Надати Замовнику послуги</w:t>
      </w:r>
      <w:r w:rsidRPr="00E0356D">
        <w:rPr>
          <w:rFonts w:eastAsia="Calibri" w:cs="Times New Roman"/>
          <w:color w:val="000000"/>
          <w:sz w:val="25"/>
          <w:szCs w:val="25"/>
          <w:lang w:eastAsia="uk-UA"/>
        </w:rPr>
        <w:t>, пов’язані з програмним забезпеченням – за кодом ДК 021:2015 – 72260000-5 (надання права використання примірників та пакетів оновлень (компонентів) комп’ют</w:t>
      </w:r>
      <w:bookmarkStart w:id="0" w:name="_GoBack"/>
      <w:bookmarkEnd w:id="0"/>
      <w:r w:rsidRPr="00E0356D">
        <w:rPr>
          <w:rFonts w:eastAsia="Calibri" w:cs="Times New Roman"/>
          <w:color w:val="000000"/>
          <w:sz w:val="25"/>
          <w:szCs w:val="25"/>
          <w:lang w:eastAsia="uk-UA"/>
        </w:rPr>
        <w:t>ерних програм «M.E.Doc» (модулі «Звітність», «Корпорація» та «Електронний документообіг» – в частині реєстрації первинної документації) та «Звіт Корпорація», а також послуг з їх технічного та консультаційного супроводу) (далі – Послуги).</w:t>
      </w:r>
    </w:p>
    <w:p w:rsidR="00E0356D" w:rsidRPr="00E0356D" w:rsidRDefault="00E0356D" w:rsidP="00E0356D">
      <w:pPr>
        <w:numPr>
          <w:ilvl w:val="1"/>
          <w:numId w:val="35"/>
        </w:numPr>
        <w:ind w:left="-567" w:firstLine="710"/>
        <w:jc w:val="both"/>
        <w:rPr>
          <w:rFonts w:eastAsia="Calibri" w:cs="Times New Roman"/>
          <w:color w:val="000000"/>
          <w:sz w:val="25"/>
          <w:szCs w:val="25"/>
          <w:lang w:eastAsia="uk-UA"/>
        </w:rPr>
      </w:pPr>
      <w:r w:rsidRPr="00E0356D">
        <w:rPr>
          <w:rFonts w:eastAsia="Calibri" w:cs="Times New Roman"/>
          <w:color w:val="000000"/>
          <w:sz w:val="25"/>
          <w:szCs w:val="25"/>
          <w:lang w:eastAsia="uk-UA"/>
        </w:rPr>
        <w:t xml:space="preserve">Надати права використання примірників та пакетів оновлень (компонентів) комп’ютерних програм «M.E.Doc» </w:t>
      </w:r>
      <w:r w:rsidRPr="00E0356D">
        <w:rPr>
          <w:rFonts w:eastAsia="Calibri" w:cs="Times New Roman"/>
          <w:sz w:val="25"/>
          <w:szCs w:val="25"/>
          <w:shd w:val="clear" w:color="auto" w:fill="FFFFFF"/>
          <w:lang w:eastAsia="uk-UA"/>
        </w:rPr>
        <w:t>(</w:t>
      </w:r>
      <w:r w:rsidRPr="00E0356D">
        <w:rPr>
          <w:rFonts w:eastAsia="Calibri" w:cs="Times New Roman"/>
          <w:color w:val="000000"/>
          <w:sz w:val="25"/>
          <w:szCs w:val="25"/>
          <w:lang w:eastAsia="uk-UA"/>
        </w:rPr>
        <w:t xml:space="preserve">модулі «Звітність», «Корпорація» </w:t>
      </w:r>
      <w:r w:rsidRPr="00E0356D">
        <w:rPr>
          <w:rFonts w:eastAsia="Calibri" w:cs="Times New Roman"/>
          <w:sz w:val="25"/>
          <w:szCs w:val="25"/>
          <w:lang w:eastAsia="uk-UA"/>
        </w:rPr>
        <w:t xml:space="preserve">та «Електронний документообіг» – в частині реєстрації </w:t>
      </w:r>
      <w:r w:rsidRPr="00E0356D">
        <w:rPr>
          <w:rFonts w:eastAsia="Calibri" w:cs="Times New Roman"/>
          <w:color w:val="000000"/>
          <w:sz w:val="25"/>
          <w:szCs w:val="25"/>
          <w:lang w:eastAsia="uk-UA"/>
        </w:rPr>
        <w:t>первинної документації</w:t>
      </w:r>
      <w:r w:rsidRPr="00E0356D">
        <w:rPr>
          <w:rFonts w:eastAsia="Calibri" w:cs="Times New Roman"/>
          <w:sz w:val="25"/>
          <w:szCs w:val="25"/>
          <w:shd w:val="clear" w:color="auto" w:fill="FFFFFF"/>
          <w:lang w:eastAsia="uk-UA"/>
        </w:rPr>
        <w:t>) та «Звіт Корпорація» (далі – Програмне забезпечення)</w:t>
      </w:r>
      <w:r w:rsidRPr="00E0356D">
        <w:rPr>
          <w:rFonts w:eastAsia="Calibri" w:cs="Times New Roman"/>
          <w:color w:val="000000"/>
          <w:sz w:val="25"/>
          <w:szCs w:val="25"/>
          <w:lang w:eastAsia="uk-UA"/>
        </w:rPr>
        <w:t xml:space="preserve"> шляхом надання доступу Замовнику до ресурсу (серверу) в мережі Інтернет, на якому розміщується відповідне Програмне забезпечення, або його встановленням Замовнику безпосередньо фахівцями Виконавця.</w:t>
      </w:r>
    </w:p>
    <w:p w:rsidR="00E0356D" w:rsidRPr="00E0356D" w:rsidRDefault="00E0356D" w:rsidP="00E0356D">
      <w:pPr>
        <w:widowControl w:val="0"/>
        <w:numPr>
          <w:ilvl w:val="1"/>
          <w:numId w:val="35"/>
        </w:numPr>
        <w:tabs>
          <w:tab w:val="left" w:pos="851"/>
        </w:tabs>
        <w:ind w:left="-567" w:firstLine="851"/>
        <w:contextualSpacing/>
        <w:jc w:val="both"/>
        <w:rPr>
          <w:rFonts w:eastAsia="Calibri" w:cs="Times New Roman"/>
          <w:sz w:val="25"/>
          <w:szCs w:val="25"/>
          <w:lang w:eastAsia="uk-UA"/>
        </w:rPr>
      </w:pPr>
      <w:r w:rsidRPr="00E0356D">
        <w:rPr>
          <w:rFonts w:eastAsia="Calibri" w:cs="Times New Roman"/>
          <w:sz w:val="25"/>
          <w:szCs w:val="25"/>
          <w:lang w:eastAsia="uk-UA"/>
        </w:rPr>
        <w:t>Своєчасно надавати можливість Замовнику завантажувати оновлення з сайтів:______________, _________________, або забезпечувати його встановлення безпосередньо фахівцями Виконавця.</w:t>
      </w:r>
    </w:p>
    <w:p w:rsidR="00E0356D" w:rsidRPr="00E0356D" w:rsidRDefault="00E0356D" w:rsidP="00E0356D">
      <w:pPr>
        <w:tabs>
          <w:tab w:val="left" w:pos="567"/>
          <w:tab w:val="left" w:pos="993"/>
        </w:tabs>
        <w:spacing w:line="254" w:lineRule="auto"/>
        <w:ind w:left="-567" w:right="-6" w:firstLine="851"/>
        <w:contextualSpacing/>
        <w:jc w:val="both"/>
        <w:rPr>
          <w:rFonts w:eastAsia="Calibri" w:cs="Times New Roman"/>
          <w:sz w:val="24"/>
          <w:szCs w:val="24"/>
          <w:shd w:val="clear" w:color="auto" w:fill="FFFFFF"/>
          <w:lang w:eastAsia="uk-UA"/>
        </w:rPr>
      </w:pPr>
      <w:r w:rsidRPr="00E0356D">
        <w:rPr>
          <w:rFonts w:eastAsia="Calibri" w:cs="Times New Roman"/>
          <w:sz w:val="25"/>
          <w:szCs w:val="25"/>
          <w:shd w:val="clear" w:color="auto" w:fill="FFFFFF"/>
          <w:lang w:eastAsia="uk-UA"/>
        </w:rPr>
        <w:t>2.4. Передавати зміни і доповнення до інструкцій з використання Програмного забезпечення та до іншої інформації, необхідної для повноцінного користування Програмним забезпеченням (далі – Супровідної документації), одночасно із пакетами оновлень (компонентами), (новими версіями) Програмного забезпечення (релізами).</w:t>
      </w:r>
    </w:p>
    <w:p w:rsidR="00E0356D" w:rsidRPr="00E0356D" w:rsidRDefault="00E0356D" w:rsidP="00E0356D">
      <w:pPr>
        <w:widowControl w:val="0"/>
        <w:tabs>
          <w:tab w:val="left" w:pos="851"/>
          <w:tab w:val="left" w:pos="993"/>
        </w:tabs>
        <w:ind w:left="-567" w:firstLine="851"/>
        <w:jc w:val="both"/>
        <w:rPr>
          <w:rFonts w:eastAsia="Times New Roman" w:cs="Times New Roman"/>
          <w:sz w:val="25"/>
          <w:szCs w:val="25"/>
          <w:lang w:eastAsia="uk-UA"/>
        </w:rPr>
      </w:pPr>
      <w:r w:rsidRPr="00E0356D">
        <w:rPr>
          <w:rFonts w:eastAsia="Times New Roman" w:cs="Times New Roman"/>
          <w:sz w:val="25"/>
          <w:szCs w:val="25"/>
          <w:lang w:eastAsia="uk-UA"/>
        </w:rPr>
        <w:t xml:space="preserve">2.5. Забезпечити технічний та консультаційний супровід функціоналу </w:t>
      </w:r>
      <w:r w:rsidRPr="00E0356D">
        <w:rPr>
          <w:rFonts w:eastAsia="Times New Roman" w:cs="Times New Roman"/>
          <w:sz w:val="25"/>
          <w:szCs w:val="25"/>
          <w:shd w:val="clear" w:color="auto" w:fill="FFFFFF"/>
          <w:lang w:eastAsia="uk-UA"/>
        </w:rPr>
        <w:t xml:space="preserve">Програмного забезпечення </w:t>
      </w:r>
      <w:r w:rsidRPr="00E0356D">
        <w:rPr>
          <w:rFonts w:eastAsia="Times New Roman" w:cs="Times New Roman"/>
          <w:bCs/>
          <w:sz w:val="25"/>
          <w:szCs w:val="25"/>
          <w:shd w:val="clear" w:color="auto" w:fill="FFFFFF"/>
          <w:lang w:eastAsia="uk-UA"/>
        </w:rPr>
        <w:t xml:space="preserve">(далі – </w:t>
      </w:r>
      <w:r w:rsidRPr="00E0356D">
        <w:rPr>
          <w:rFonts w:eastAsia="Times New Roman" w:cs="Times New Roman"/>
          <w:sz w:val="25"/>
          <w:szCs w:val="25"/>
          <w:shd w:val="clear" w:color="auto" w:fill="FFFFFF"/>
          <w:lang w:eastAsia="uk-UA"/>
        </w:rPr>
        <w:t>Послуги супроводу), а саме</w:t>
      </w:r>
      <w:r w:rsidRPr="00E0356D">
        <w:rPr>
          <w:rFonts w:eastAsia="Times New Roman" w:cs="Times New Roman"/>
          <w:sz w:val="25"/>
          <w:szCs w:val="25"/>
          <w:lang w:eastAsia="uk-UA"/>
        </w:rPr>
        <w:t>:</w:t>
      </w:r>
    </w:p>
    <w:p w:rsidR="00E0356D" w:rsidRPr="00E0356D" w:rsidRDefault="00E0356D" w:rsidP="00E0356D">
      <w:pPr>
        <w:widowControl w:val="0"/>
        <w:tabs>
          <w:tab w:val="left" w:pos="1134"/>
          <w:tab w:val="left" w:pos="1276"/>
        </w:tabs>
        <w:ind w:left="-567" w:firstLine="851"/>
        <w:contextualSpacing/>
        <w:jc w:val="both"/>
        <w:rPr>
          <w:rFonts w:eastAsia="Calibri" w:cs="Times New Roman"/>
          <w:sz w:val="25"/>
          <w:szCs w:val="25"/>
          <w:shd w:val="clear" w:color="auto" w:fill="FFFFFF"/>
          <w:lang w:eastAsia="uk-UA"/>
        </w:rPr>
      </w:pPr>
      <w:r w:rsidRPr="00E0356D">
        <w:rPr>
          <w:rFonts w:eastAsia="Calibri" w:cs="Times New Roman"/>
          <w:sz w:val="25"/>
          <w:szCs w:val="25"/>
          <w:lang w:eastAsia="uk-UA"/>
        </w:rPr>
        <w:t xml:space="preserve">2.5.1. Технічний та консультаційний супровід </w:t>
      </w:r>
      <w:r w:rsidRPr="00E0356D">
        <w:rPr>
          <w:rFonts w:eastAsia="Calibri" w:cs="Times New Roman"/>
          <w:sz w:val="25"/>
          <w:szCs w:val="25"/>
          <w:shd w:val="clear" w:color="auto" w:fill="FFFFFF"/>
          <w:lang w:eastAsia="uk-UA"/>
        </w:rPr>
        <w:t>комп’ютерної програми «M.E.Doc» повинні включати:</w:t>
      </w:r>
    </w:p>
    <w:p w:rsidR="00E0356D" w:rsidRPr="00E0356D" w:rsidRDefault="00E0356D" w:rsidP="00E0356D">
      <w:pPr>
        <w:widowControl w:val="0"/>
        <w:tabs>
          <w:tab w:val="left" w:pos="1134"/>
          <w:tab w:val="left" w:pos="1276"/>
        </w:tabs>
        <w:ind w:left="-567" w:firstLine="851"/>
        <w:jc w:val="both"/>
        <w:rPr>
          <w:rFonts w:eastAsia="Times New Roman" w:cs="Times New Roman"/>
          <w:sz w:val="25"/>
          <w:szCs w:val="25"/>
          <w:shd w:val="clear" w:color="auto" w:fill="FFFFFF"/>
          <w:lang w:eastAsia="uk-UA"/>
        </w:rPr>
      </w:pPr>
      <w:r w:rsidRPr="00E0356D">
        <w:rPr>
          <w:rFonts w:eastAsia="Times New Roman" w:cs="Times New Roman"/>
          <w:sz w:val="25"/>
          <w:szCs w:val="25"/>
          <w:shd w:val="clear" w:color="auto" w:fill="FFFFFF"/>
          <w:lang w:eastAsia="uk-UA"/>
        </w:rPr>
        <w:t>консультації технічних фахівців Виконавця (по e-</w:t>
      </w:r>
      <w:proofErr w:type="spellStart"/>
      <w:r w:rsidRPr="00E0356D">
        <w:rPr>
          <w:rFonts w:eastAsia="Times New Roman" w:cs="Times New Roman"/>
          <w:sz w:val="25"/>
          <w:szCs w:val="25"/>
          <w:shd w:val="clear" w:color="auto" w:fill="FFFFFF"/>
          <w:lang w:eastAsia="uk-UA"/>
        </w:rPr>
        <w:t>mail</w:t>
      </w:r>
      <w:proofErr w:type="spellEnd"/>
      <w:r w:rsidRPr="00E0356D">
        <w:rPr>
          <w:rFonts w:eastAsia="Times New Roman" w:cs="Times New Roman"/>
          <w:sz w:val="25"/>
          <w:szCs w:val="25"/>
          <w:shd w:val="clear" w:color="auto" w:fill="FFFFFF"/>
          <w:lang w:eastAsia="uk-UA"/>
        </w:rPr>
        <w:t xml:space="preserve"> (необмежено));</w:t>
      </w:r>
    </w:p>
    <w:p w:rsidR="00E0356D" w:rsidRPr="00E0356D" w:rsidRDefault="00E0356D" w:rsidP="00E0356D">
      <w:pPr>
        <w:widowControl w:val="0"/>
        <w:tabs>
          <w:tab w:val="left" w:pos="1134"/>
          <w:tab w:val="left" w:pos="1276"/>
        </w:tabs>
        <w:ind w:left="-567" w:firstLine="851"/>
        <w:jc w:val="both"/>
        <w:rPr>
          <w:rFonts w:eastAsia="Times New Roman" w:cs="Times New Roman"/>
          <w:sz w:val="25"/>
          <w:szCs w:val="25"/>
          <w:shd w:val="clear" w:color="auto" w:fill="FFFFFF"/>
          <w:lang w:eastAsia="uk-UA"/>
        </w:rPr>
      </w:pPr>
      <w:r w:rsidRPr="00E0356D">
        <w:rPr>
          <w:rFonts w:eastAsia="Times New Roman" w:cs="Times New Roman"/>
          <w:sz w:val="25"/>
          <w:szCs w:val="25"/>
          <w:shd w:val="clear" w:color="auto" w:fill="FFFFFF"/>
          <w:lang w:eastAsia="uk-UA"/>
        </w:rPr>
        <w:t>по телефону (необмежено);</w:t>
      </w:r>
    </w:p>
    <w:p w:rsidR="00E0356D" w:rsidRPr="00E0356D" w:rsidRDefault="00E0356D" w:rsidP="00E0356D">
      <w:pPr>
        <w:widowControl w:val="0"/>
        <w:tabs>
          <w:tab w:val="left" w:pos="1134"/>
          <w:tab w:val="left" w:pos="1276"/>
        </w:tabs>
        <w:ind w:left="-567" w:firstLine="851"/>
        <w:jc w:val="both"/>
        <w:rPr>
          <w:rFonts w:eastAsia="Times New Roman" w:cs="Times New Roman"/>
          <w:sz w:val="25"/>
          <w:szCs w:val="25"/>
          <w:shd w:val="clear" w:color="auto" w:fill="FFFFFF"/>
          <w:lang w:eastAsia="uk-UA"/>
        </w:rPr>
      </w:pPr>
      <w:r w:rsidRPr="00E0356D">
        <w:rPr>
          <w:rFonts w:eastAsia="Times New Roman" w:cs="Times New Roman"/>
          <w:sz w:val="25"/>
          <w:szCs w:val="25"/>
          <w:shd w:val="clear" w:color="auto" w:fill="FFFFFF"/>
          <w:lang w:eastAsia="uk-UA"/>
        </w:rPr>
        <w:t>шляхом надання віддаленого доступу спеціалістам Виконавця до програмного забезпечення Замовника в обсязі, необхідному для надання Послуг</w:t>
      </w:r>
      <w:r w:rsidRPr="00E0356D">
        <w:rPr>
          <w:rFonts w:eastAsia="Times New Roman" w:cs="Times New Roman"/>
          <w:sz w:val="25"/>
          <w:szCs w:val="25"/>
          <w:shd w:val="clear" w:color="auto" w:fill="FFFFFF"/>
          <w:lang w:val="ru-RU" w:eastAsia="uk-UA"/>
        </w:rPr>
        <w:t xml:space="preserve"> </w:t>
      </w:r>
      <w:r w:rsidRPr="00E0356D">
        <w:rPr>
          <w:rFonts w:eastAsia="Times New Roman" w:cs="Times New Roman"/>
          <w:sz w:val="25"/>
          <w:szCs w:val="25"/>
          <w:shd w:val="clear" w:color="auto" w:fill="FFFFFF"/>
          <w:lang w:eastAsia="uk-UA"/>
        </w:rPr>
        <w:t>(до 3-х годин на місяць);</w:t>
      </w:r>
    </w:p>
    <w:p w:rsidR="00E0356D" w:rsidRPr="00E0356D" w:rsidRDefault="00E0356D" w:rsidP="00E0356D">
      <w:pPr>
        <w:widowControl w:val="0"/>
        <w:tabs>
          <w:tab w:val="left" w:pos="1134"/>
          <w:tab w:val="left" w:pos="1276"/>
        </w:tabs>
        <w:ind w:left="-567" w:firstLine="851"/>
        <w:jc w:val="both"/>
        <w:rPr>
          <w:rFonts w:eastAsia="Times New Roman" w:cs="Times New Roman"/>
          <w:sz w:val="25"/>
          <w:szCs w:val="25"/>
          <w:shd w:val="clear" w:color="auto" w:fill="FFFFFF"/>
          <w:lang w:eastAsia="uk-UA"/>
        </w:rPr>
      </w:pPr>
      <w:r w:rsidRPr="00E0356D">
        <w:rPr>
          <w:rFonts w:eastAsia="Times New Roman" w:cs="Times New Roman"/>
          <w:sz w:val="25"/>
          <w:szCs w:val="25"/>
          <w:shd w:val="clear" w:color="auto" w:fill="FFFFFF"/>
          <w:lang w:eastAsia="uk-UA"/>
        </w:rPr>
        <w:t>з виїздом до Замовника (до 2-х годин на місяць);</w:t>
      </w:r>
    </w:p>
    <w:p w:rsidR="00E0356D" w:rsidRPr="00E0356D" w:rsidRDefault="00E0356D" w:rsidP="00E0356D">
      <w:pPr>
        <w:widowControl w:val="0"/>
        <w:tabs>
          <w:tab w:val="left" w:pos="1134"/>
          <w:tab w:val="left" w:pos="1276"/>
        </w:tabs>
        <w:ind w:left="-567" w:firstLine="851"/>
        <w:jc w:val="both"/>
        <w:rPr>
          <w:rFonts w:eastAsia="Times New Roman" w:cs="Times New Roman"/>
          <w:sz w:val="25"/>
          <w:szCs w:val="25"/>
          <w:shd w:val="clear" w:color="auto" w:fill="FFFFFF"/>
          <w:lang w:eastAsia="uk-UA"/>
        </w:rPr>
      </w:pPr>
      <w:r w:rsidRPr="00E0356D">
        <w:rPr>
          <w:rFonts w:eastAsia="Times New Roman" w:cs="Times New Roman"/>
          <w:sz w:val="25"/>
          <w:szCs w:val="25"/>
          <w:shd w:val="clear" w:color="auto" w:fill="FFFFFF"/>
          <w:lang w:eastAsia="uk-UA"/>
        </w:rPr>
        <w:t>призначення персонального менеджера;</w:t>
      </w:r>
    </w:p>
    <w:p w:rsidR="00E0356D" w:rsidRPr="00E0356D" w:rsidRDefault="00E0356D" w:rsidP="00E0356D">
      <w:pPr>
        <w:widowControl w:val="0"/>
        <w:tabs>
          <w:tab w:val="left" w:pos="1134"/>
          <w:tab w:val="left" w:pos="1276"/>
        </w:tabs>
        <w:ind w:left="-567" w:firstLine="851"/>
        <w:jc w:val="both"/>
        <w:rPr>
          <w:rFonts w:eastAsia="Times New Roman" w:cs="Times New Roman"/>
          <w:sz w:val="25"/>
          <w:szCs w:val="25"/>
          <w:shd w:val="clear" w:color="auto" w:fill="FFFFFF"/>
          <w:lang w:eastAsia="uk-UA"/>
        </w:rPr>
      </w:pPr>
      <w:r w:rsidRPr="00E0356D">
        <w:rPr>
          <w:rFonts w:eastAsia="Times New Roman" w:cs="Times New Roman"/>
          <w:sz w:val="25"/>
          <w:szCs w:val="25"/>
          <w:shd w:val="clear" w:color="auto" w:fill="FFFFFF"/>
          <w:lang w:eastAsia="uk-UA"/>
        </w:rPr>
        <w:t>підтримку роботи комп’ютерної програми на СУБД «</w:t>
      </w:r>
      <w:proofErr w:type="spellStart"/>
      <w:r w:rsidRPr="00E0356D">
        <w:rPr>
          <w:rFonts w:eastAsia="Times New Roman" w:cs="Times New Roman"/>
          <w:sz w:val="25"/>
          <w:szCs w:val="25"/>
          <w:shd w:val="clear" w:color="auto" w:fill="FFFFFF"/>
          <w:lang w:eastAsia="uk-UA"/>
        </w:rPr>
        <w:t>Oracle</w:t>
      </w:r>
      <w:proofErr w:type="spellEnd"/>
      <w:r w:rsidRPr="00E0356D">
        <w:rPr>
          <w:rFonts w:eastAsia="Times New Roman" w:cs="Times New Roman"/>
          <w:sz w:val="25"/>
          <w:szCs w:val="25"/>
          <w:shd w:val="clear" w:color="auto" w:fill="FFFFFF"/>
          <w:lang w:eastAsia="uk-UA"/>
        </w:rPr>
        <w:t>»/«</w:t>
      </w:r>
      <w:proofErr w:type="spellStart"/>
      <w:r w:rsidRPr="00E0356D">
        <w:rPr>
          <w:rFonts w:eastAsia="Times New Roman" w:cs="Times New Roman"/>
          <w:sz w:val="25"/>
          <w:szCs w:val="25"/>
          <w:shd w:val="clear" w:color="auto" w:fill="FFFFFF"/>
          <w:lang w:eastAsia="uk-UA"/>
        </w:rPr>
        <w:t>PostgreSQL</w:t>
      </w:r>
      <w:proofErr w:type="spellEnd"/>
      <w:r w:rsidRPr="00E0356D">
        <w:rPr>
          <w:rFonts w:eastAsia="Times New Roman" w:cs="Times New Roman"/>
          <w:sz w:val="25"/>
          <w:szCs w:val="25"/>
          <w:shd w:val="clear" w:color="auto" w:fill="FFFFFF"/>
          <w:lang w:eastAsia="uk-UA"/>
        </w:rPr>
        <w:t>» (до 4-х годин протягом строку дії Договору);</w:t>
      </w:r>
    </w:p>
    <w:p w:rsidR="00E0356D" w:rsidRPr="00E0356D" w:rsidRDefault="00E0356D" w:rsidP="00E0356D">
      <w:pPr>
        <w:widowControl w:val="0"/>
        <w:tabs>
          <w:tab w:val="left" w:pos="1134"/>
          <w:tab w:val="left" w:pos="1276"/>
        </w:tabs>
        <w:ind w:left="-567" w:firstLine="851"/>
        <w:jc w:val="both"/>
        <w:rPr>
          <w:rFonts w:eastAsia="Times New Roman" w:cs="Times New Roman"/>
          <w:sz w:val="25"/>
          <w:szCs w:val="25"/>
          <w:shd w:val="clear" w:color="auto" w:fill="FFFFFF"/>
          <w:lang w:eastAsia="uk-UA"/>
        </w:rPr>
      </w:pPr>
      <w:r w:rsidRPr="00E0356D">
        <w:rPr>
          <w:rFonts w:eastAsia="Times New Roman" w:cs="Times New Roman"/>
          <w:sz w:val="25"/>
          <w:szCs w:val="25"/>
          <w:shd w:val="clear" w:color="auto" w:fill="FFFFFF"/>
          <w:lang w:eastAsia="uk-UA"/>
        </w:rPr>
        <w:t>навчання посадових осіб Замовника роботі з комп’ютерною програмою.</w:t>
      </w:r>
    </w:p>
    <w:p w:rsidR="00E0356D" w:rsidRPr="00E0356D" w:rsidRDefault="00E0356D" w:rsidP="00E0356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284"/>
        <w:jc w:val="both"/>
        <w:rPr>
          <w:rFonts w:eastAsia="Times New Roman" w:cs="Times New Roman"/>
          <w:sz w:val="25"/>
          <w:szCs w:val="25"/>
          <w:shd w:val="clear" w:color="auto" w:fill="FFFFFF"/>
          <w:lang w:eastAsia="uk-UA"/>
        </w:rPr>
      </w:pPr>
      <w:r w:rsidRPr="00E0356D">
        <w:rPr>
          <w:rFonts w:eastAsia="Times New Roman" w:cs="Times New Roman"/>
          <w:sz w:val="25"/>
          <w:szCs w:val="25"/>
          <w:lang w:eastAsia="uk-UA"/>
        </w:rPr>
        <w:t xml:space="preserve">2.5.2. Технічний та консультаційний супровід </w:t>
      </w:r>
      <w:r w:rsidRPr="00E0356D">
        <w:rPr>
          <w:rFonts w:eastAsia="Times New Roman" w:cs="Times New Roman"/>
          <w:sz w:val="25"/>
          <w:szCs w:val="25"/>
          <w:shd w:val="clear" w:color="auto" w:fill="FFFFFF"/>
          <w:lang w:eastAsia="uk-UA"/>
        </w:rPr>
        <w:t xml:space="preserve">комп’ютерної програми «Звіт </w:t>
      </w:r>
      <w:r w:rsidRPr="00E0356D">
        <w:rPr>
          <w:rFonts w:eastAsia="Times New Roman" w:cs="Times New Roman"/>
          <w:sz w:val="25"/>
          <w:szCs w:val="25"/>
          <w:shd w:val="clear" w:color="auto" w:fill="FFFFFF"/>
          <w:lang w:eastAsia="uk-UA"/>
        </w:rPr>
        <w:lastRenderedPageBreak/>
        <w:t>Корпорація» повинні включати:</w:t>
      </w:r>
    </w:p>
    <w:p w:rsidR="00E0356D" w:rsidRPr="00E0356D" w:rsidRDefault="00E0356D" w:rsidP="00E0356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284"/>
        <w:jc w:val="both"/>
        <w:rPr>
          <w:rFonts w:eastAsia="Times New Roman" w:cs="Times New Roman"/>
          <w:sz w:val="25"/>
          <w:szCs w:val="25"/>
          <w:shd w:val="clear" w:color="auto" w:fill="FFFFFF"/>
          <w:lang w:eastAsia="uk-UA"/>
        </w:rPr>
      </w:pPr>
      <w:r w:rsidRPr="00E0356D">
        <w:rPr>
          <w:rFonts w:eastAsia="Times New Roman" w:cs="Times New Roman"/>
          <w:sz w:val="25"/>
          <w:szCs w:val="25"/>
          <w:shd w:val="clear" w:color="auto" w:fill="FFFFFF"/>
          <w:lang w:eastAsia="uk-UA"/>
        </w:rPr>
        <w:t>консультації технічних фахівців Виконавця (по e-</w:t>
      </w:r>
      <w:proofErr w:type="spellStart"/>
      <w:r w:rsidRPr="00E0356D">
        <w:rPr>
          <w:rFonts w:eastAsia="Times New Roman" w:cs="Times New Roman"/>
          <w:sz w:val="25"/>
          <w:szCs w:val="25"/>
          <w:shd w:val="clear" w:color="auto" w:fill="FFFFFF"/>
          <w:lang w:eastAsia="uk-UA"/>
        </w:rPr>
        <w:t>mail</w:t>
      </w:r>
      <w:proofErr w:type="spellEnd"/>
      <w:r w:rsidRPr="00E0356D">
        <w:rPr>
          <w:rFonts w:eastAsia="Times New Roman" w:cs="Times New Roman"/>
          <w:sz w:val="25"/>
          <w:szCs w:val="25"/>
          <w:shd w:val="clear" w:color="auto" w:fill="FFFFFF"/>
          <w:lang w:eastAsia="uk-UA"/>
        </w:rPr>
        <w:t xml:space="preserve"> (необмежено));</w:t>
      </w:r>
    </w:p>
    <w:p w:rsidR="00E0356D" w:rsidRPr="00E0356D" w:rsidRDefault="00E0356D" w:rsidP="00E0356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284"/>
        <w:jc w:val="both"/>
        <w:rPr>
          <w:rFonts w:eastAsia="Times New Roman" w:cs="Times New Roman"/>
          <w:sz w:val="25"/>
          <w:szCs w:val="25"/>
          <w:shd w:val="clear" w:color="auto" w:fill="FFFFFF"/>
          <w:lang w:eastAsia="uk-UA"/>
        </w:rPr>
      </w:pPr>
      <w:r w:rsidRPr="00E0356D">
        <w:rPr>
          <w:rFonts w:eastAsia="Times New Roman" w:cs="Times New Roman"/>
          <w:sz w:val="25"/>
          <w:szCs w:val="25"/>
          <w:shd w:val="clear" w:color="auto" w:fill="FFFFFF"/>
          <w:lang w:eastAsia="uk-UA"/>
        </w:rPr>
        <w:t>по телефону (необмежено);</w:t>
      </w:r>
    </w:p>
    <w:p w:rsidR="00E0356D" w:rsidRPr="00E0356D" w:rsidRDefault="00E0356D" w:rsidP="00E0356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284"/>
        <w:jc w:val="both"/>
        <w:rPr>
          <w:rFonts w:eastAsia="Times New Roman" w:cs="Times New Roman"/>
          <w:sz w:val="25"/>
          <w:szCs w:val="25"/>
          <w:shd w:val="clear" w:color="auto" w:fill="FFFFFF"/>
          <w:lang w:eastAsia="uk-UA"/>
        </w:rPr>
      </w:pPr>
      <w:r w:rsidRPr="00E0356D">
        <w:rPr>
          <w:rFonts w:eastAsia="Times New Roman" w:cs="Times New Roman"/>
          <w:sz w:val="25"/>
          <w:szCs w:val="25"/>
          <w:shd w:val="clear" w:color="auto" w:fill="FFFFFF"/>
          <w:lang w:eastAsia="uk-UA"/>
        </w:rPr>
        <w:t>шляхом надання віддаленого доступу спеціалістам Виконавця до програмного забезпечення Замовника в обсязі, необхідному для надання Послуг</w:t>
      </w:r>
      <w:r w:rsidRPr="00E0356D">
        <w:rPr>
          <w:rFonts w:eastAsia="Times New Roman" w:cs="Times New Roman"/>
          <w:sz w:val="25"/>
          <w:szCs w:val="25"/>
          <w:shd w:val="clear" w:color="auto" w:fill="FFFFFF"/>
          <w:lang w:val="ru-RU" w:eastAsia="uk-UA"/>
        </w:rPr>
        <w:t xml:space="preserve"> </w:t>
      </w:r>
      <w:r w:rsidRPr="00E0356D">
        <w:rPr>
          <w:rFonts w:eastAsia="Times New Roman" w:cs="Times New Roman"/>
          <w:sz w:val="25"/>
          <w:szCs w:val="25"/>
          <w:lang w:eastAsia="uk-UA"/>
        </w:rPr>
        <w:t>(до 3-х годин на місяць);</w:t>
      </w:r>
    </w:p>
    <w:p w:rsidR="00E0356D" w:rsidRPr="00E0356D" w:rsidRDefault="00E0356D" w:rsidP="00E0356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284"/>
        <w:jc w:val="both"/>
        <w:rPr>
          <w:rFonts w:eastAsia="Times New Roman" w:cs="Times New Roman"/>
          <w:sz w:val="25"/>
          <w:szCs w:val="25"/>
          <w:shd w:val="clear" w:color="auto" w:fill="FFFFFF"/>
          <w:lang w:eastAsia="uk-UA"/>
        </w:rPr>
      </w:pPr>
      <w:r w:rsidRPr="00E0356D">
        <w:rPr>
          <w:rFonts w:eastAsia="Times New Roman" w:cs="Times New Roman"/>
          <w:sz w:val="25"/>
          <w:szCs w:val="25"/>
          <w:shd w:val="clear" w:color="auto" w:fill="FFFFFF"/>
          <w:lang w:eastAsia="uk-UA"/>
        </w:rPr>
        <w:t>з виїздом до Замовника (до 2-х годин на місяць);</w:t>
      </w:r>
    </w:p>
    <w:p w:rsidR="00E0356D" w:rsidRPr="00E0356D" w:rsidRDefault="00E0356D" w:rsidP="00E0356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284"/>
        <w:jc w:val="both"/>
        <w:rPr>
          <w:rFonts w:eastAsia="Times New Roman" w:cs="Times New Roman"/>
          <w:sz w:val="25"/>
          <w:szCs w:val="25"/>
          <w:shd w:val="clear" w:color="auto" w:fill="FFFFFF"/>
          <w:lang w:eastAsia="uk-UA"/>
        </w:rPr>
      </w:pPr>
      <w:r w:rsidRPr="00E0356D">
        <w:rPr>
          <w:rFonts w:eastAsia="Times New Roman" w:cs="Times New Roman"/>
          <w:sz w:val="25"/>
          <w:szCs w:val="25"/>
          <w:shd w:val="clear" w:color="auto" w:fill="FFFFFF"/>
          <w:lang w:eastAsia="uk-UA"/>
        </w:rPr>
        <w:t>призначення персонального менеджера;</w:t>
      </w:r>
    </w:p>
    <w:p w:rsidR="00E0356D" w:rsidRPr="00E0356D" w:rsidRDefault="00E0356D" w:rsidP="00E0356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284"/>
        <w:jc w:val="both"/>
        <w:rPr>
          <w:rFonts w:eastAsia="Times New Roman" w:cs="Times New Roman"/>
          <w:sz w:val="25"/>
          <w:szCs w:val="25"/>
          <w:shd w:val="clear" w:color="auto" w:fill="FFFFFF"/>
          <w:lang w:eastAsia="uk-UA"/>
        </w:rPr>
      </w:pPr>
      <w:r w:rsidRPr="00E0356D">
        <w:rPr>
          <w:rFonts w:eastAsia="Times New Roman" w:cs="Times New Roman"/>
          <w:sz w:val="25"/>
          <w:szCs w:val="25"/>
          <w:shd w:val="clear" w:color="auto" w:fill="FFFFFF"/>
          <w:lang w:eastAsia="uk-UA"/>
        </w:rPr>
        <w:t>послуги зі встановлення оновлень до комп’ютерної програми;</w:t>
      </w:r>
    </w:p>
    <w:p w:rsidR="00E0356D" w:rsidRPr="00E0356D" w:rsidRDefault="00E0356D" w:rsidP="00E0356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284"/>
        <w:jc w:val="both"/>
        <w:rPr>
          <w:rFonts w:eastAsia="Times New Roman" w:cs="Times New Roman"/>
          <w:sz w:val="25"/>
          <w:szCs w:val="25"/>
          <w:shd w:val="clear" w:color="auto" w:fill="FFFFFF"/>
          <w:lang w:eastAsia="uk-UA"/>
        </w:rPr>
      </w:pPr>
      <w:r w:rsidRPr="00E0356D">
        <w:rPr>
          <w:rFonts w:eastAsia="Times New Roman" w:cs="Times New Roman"/>
          <w:sz w:val="25"/>
          <w:szCs w:val="25"/>
          <w:shd w:val="clear" w:color="auto" w:fill="FFFFFF"/>
          <w:lang w:eastAsia="uk-UA"/>
        </w:rPr>
        <w:t>здійснення налаштувань комп’ютерної програми під вимоги Замовника;</w:t>
      </w:r>
    </w:p>
    <w:p w:rsidR="00E0356D" w:rsidRPr="00E0356D" w:rsidRDefault="00E0356D" w:rsidP="00E0356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284"/>
        <w:jc w:val="both"/>
        <w:rPr>
          <w:rFonts w:eastAsia="Times New Roman" w:cs="Times New Roman"/>
          <w:sz w:val="25"/>
          <w:szCs w:val="25"/>
          <w:shd w:val="clear" w:color="auto" w:fill="FFFFFF"/>
          <w:lang w:eastAsia="uk-UA"/>
        </w:rPr>
      </w:pPr>
      <w:r w:rsidRPr="00E0356D">
        <w:rPr>
          <w:rFonts w:eastAsia="Times New Roman" w:cs="Times New Roman"/>
          <w:sz w:val="25"/>
          <w:szCs w:val="25"/>
          <w:shd w:val="clear" w:color="auto" w:fill="FFFFFF"/>
          <w:lang w:eastAsia="uk-UA"/>
        </w:rPr>
        <w:t>контроль за формуванням резервних копій бази даних;</w:t>
      </w:r>
    </w:p>
    <w:p w:rsidR="00E0356D" w:rsidRPr="00E0356D" w:rsidRDefault="00E0356D" w:rsidP="00E0356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284"/>
        <w:jc w:val="both"/>
        <w:rPr>
          <w:rFonts w:eastAsia="Times New Roman" w:cs="Times New Roman"/>
          <w:sz w:val="25"/>
          <w:szCs w:val="25"/>
          <w:shd w:val="clear" w:color="auto" w:fill="FFFFFF"/>
          <w:lang w:eastAsia="uk-UA"/>
        </w:rPr>
      </w:pPr>
      <w:r w:rsidRPr="00E0356D">
        <w:rPr>
          <w:rFonts w:eastAsia="Times New Roman" w:cs="Times New Roman"/>
          <w:sz w:val="25"/>
          <w:szCs w:val="25"/>
          <w:shd w:val="clear" w:color="auto" w:fill="FFFFFF"/>
          <w:lang w:eastAsia="uk-UA"/>
        </w:rPr>
        <w:t xml:space="preserve">навчання посадових осіб Замовника роботі з комп’ютерною програмою; </w:t>
      </w:r>
    </w:p>
    <w:p w:rsidR="00E0356D" w:rsidRPr="00E0356D" w:rsidRDefault="00E0356D" w:rsidP="00E0356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284"/>
        <w:jc w:val="both"/>
        <w:rPr>
          <w:rFonts w:eastAsia="Times New Roman" w:cs="Times New Roman"/>
          <w:sz w:val="25"/>
          <w:szCs w:val="25"/>
          <w:shd w:val="clear" w:color="auto" w:fill="FFFFFF"/>
          <w:lang w:eastAsia="uk-UA"/>
        </w:rPr>
      </w:pPr>
      <w:r w:rsidRPr="00E0356D">
        <w:rPr>
          <w:rFonts w:eastAsia="Times New Roman" w:cs="Times New Roman"/>
          <w:sz w:val="25"/>
          <w:szCs w:val="25"/>
          <w:shd w:val="clear" w:color="auto" w:fill="FFFFFF"/>
          <w:lang w:eastAsia="uk-UA"/>
        </w:rPr>
        <w:t>оновлення довідників відповідно до змін у нормативно-правових актах;</w:t>
      </w:r>
    </w:p>
    <w:p w:rsidR="00E0356D" w:rsidRPr="00E0356D" w:rsidRDefault="00E0356D" w:rsidP="00E0356D">
      <w:pPr>
        <w:widowControl w:val="0"/>
        <w:tabs>
          <w:tab w:val="left" w:pos="567"/>
          <w:tab w:val="left" w:pos="1276"/>
        </w:tabs>
        <w:autoSpaceDE w:val="0"/>
        <w:autoSpaceDN w:val="0"/>
        <w:adjustRightInd w:val="0"/>
        <w:ind w:firstLine="284"/>
        <w:jc w:val="both"/>
        <w:rPr>
          <w:rFonts w:eastAsia="Times New Roman" w:cs="Times New Roman"/>
          <w:sz w:val="25"/>
          <w:szCs w:val="25"/>
          <w:lang w:eastAsia="uk-UA"/>
        </w:rPr>
      </w:pPr>
      <w:r w:rsidRPr="00E0356D">
        <w:rPr>
          <w:rFonts w:eastAsia="Times New Roman" w:cs="Times New Roman"/>
          <w:sz w:val="25"/>
          <w:szCs w:val="25"/>
          <w:shd w:val="clear" w:color="auto" w:fill="FFFFFF"/>
          <w:lang w:eastAsia="uk-UA"/>
        </w:rPr>
        <w:t>використання кваліфікованого або удосконаленого електронного підпису;</w:t>
      </w:r>
    </w:p>
    <w:p w:rsidR="00E0356D" w:rsidRPr="00E0356D" w:rsidRDefault="00E0356D" w:rsidP="00E0356D">
      <w:pPr>
        <w:widowControl w:val="0"/>
        <w:tabs>
          <w:tab w:val="left" w:pos="567"/>
          <w:tab w:val="left" w:pos="1276"/>
        </w:tabs>
        <w:autoSpaceDE w:val="0"/>
        <w:autoSpaceDN w:val="0"/>
        <w:adjustRightInd w:val="0"/>
        <w:ind w:firstLine="284"/>
        <w:jc w:val="both"/>
        <w:rPr>
          <w:rFonts w:eastAsia="Times New Roman" w:cs="Times New Roman"/>
          <w:sz w:val="25"/>
          <w:szCs w:val="25"/>
          <w:shd w:val="clear" w:color="auto" w:fill="FFFFFF"/>
          <w:lang w:eastAsia="uk-UA"/>
        </w:rPr>
      </w:pPr>
      <w:r w:rsidRPr="00E0356D">
        <w:rPr>
          <w:rFonts w:eastAsia="Times New Roman" w:cs="Times New Roman"/>
          <w:sz w:val="25"/>
          <w:szCs w:val="25"/>
          <w:shd w:val="clear" w:color="auto" w:fill="FFFFFF"/>
          <w:lang w:eastAsia="uk-UA"/>
        </w:rPr>
        <w:t>шифрування звітності і квитанцій на сертифікат отримувача;</w:t>
      </w:r>
    </w:p>
    <w:p w:rsidR="00E0356D" w:rsidRPr="00E0356D" w:rsidRDefault="00E0356D" w:rsidP="00E0356D">
      <w:pPr>
        <w:widowControl w:val="0"/>
        <w:tabs>
          <w:tab w:val="left" w:pos="567"/>
          <w:tab w:val="left" w:pos="1276"/>
        </w:tabs>
        <w:autoSpaceDE w:val="0"/>
        <w:autoSpaceDN w:val="0"/>
        <w:adjustRightInd w:val="0"/>
        <w:ind w:firstLine="284"/>
        <w:jc w:val="both"/>
        <w:rPr>
          <w:rFonts w:eastAsia="Times New Roman" w:cs="Times New Roman"/>
          <w:sz w:val="25"/>
          <w:szCs w:val="25"/>
          <w:shd w:val="clear" w:color="auto" w:fill="FFFFFF"/>
          <w:lang w:eastAsia="uk-UA"/>
        </w:rPr>
      </w:pPr>
      <w:r w:rsidRPr="00E0356D">
        <w:rPr>
          <w:rFonts w:eastAsia="Times New Roman" w:cs="Times New Roman"/>
          <w:sz w:val="25"/>
          <w:szCs w:val="25"/>
          <w:shd w:val="clear" w:color="auto" w:fill="FFFFFF"/>
          <w:lang w:eastAsia="uk-UA"/>
        </w:rPr>
        <w:t xml:space="preserve">забезпечення перевірки сертифікатів підписантів по </w:t>
      </w:r>
      <w:r w:rsidRPr="00E0356D">
        <w:rPr>
          <w:rFonts w:eastAsia="Times New Roman" w:cs="Times New Roman"/>
          <w:sz w:val="25"/>
          <w:szCs w:val="25"/>
          <w:shd w:val="clear" w:color="auto" w:fill="FFFFFF"/>
          <w:lang w:val="en-US" w:eastAsia="uk-UA"/>
        </w:rPr>
        <w:t>OCSP</w:t>
      </w:r>
      <w:r w:rsidRPr="00E0356D">
        <w:rPr>
          <w:rFonts w:eastAsia="Times New Roman" w:cs="Times New Roman"/>
          <w:sz w:val="25"/>
          <w:szCs w:val="25"/>
          <w:shd w:val="clear" w:color="auto" w:fill="FFFFFF"/>
          <w:lang w:eastAsia="uk-UA"/>
        </w:rPr>
        <w:t>;</w:t>
      </w:r>
    </w:p>
    <w:p w:rsidR="00E0356D" w:rsidRPr="00E0356D" w:rsidRDefault="00E0356D" w:rsidP="00E0356D">
      <w:pPr>
        <w:widowControl w:val="0"/>
        <w:tabs>
          <w:tab w:val="left" w:pos="567"/>
          <w:tab w:val="left" w:pos="1276"/>
        </w:tabs>
        <w:autoSpaceDE w:val="0"/>
        <w:autoSpaceDN w:val="0"/>
        <w:adjustRightInd w:val="0"/>
        <w:ind w:firstLine="284"/>
        <w:jc w:val="both"/>
        <w:rPr>
          <w:rFonts w:eastAsia="Times New Roman" w:cs="Times New Roman"/>
          <w:sz w:val="25"/>
          <w:szCs w:val="25"/>
          <w:shd w:val="clear" w:color="auto" w:fill="FFFFFF"/>
          <w:lang w:eastAsia="uk-UA"/>
        </w:rPr>
      </w:pPr>
      <w:r w:rsidRPr="00E0356D">
        <w:rPr>
          <w:rFonts w:eastAsia="Times New Roman" w:cs="Times New Roman"/>
          <w:sz w:val="25"/>
          <w:szCs w:val="25"/>
          <w:shd w:val="clear" w:color="auto" w:fill="FFFFFF"/>
          <w:lang w:eastAsia="uk-UA"/>
        </w:rPr>
        <w:t>контроль за обробкою звітів та формуванням квитанцій;</w:t>
      </w:r>
    </w:p>
    <w:p w:rsidR="00E0356D" w:rsidRPr="00E0356D" w:rsidRDefault="00E0356D" w:rsidP="00E0356D">
      <w:pPr>
        <w:widowControl w:val="0"/>
        <w:tabs>
          <w:tab w:val="left" w:pos="567"/>
          <w:tab w:val="left" w:pos="1276"/>
        </w:tabs>
        <w:autoSpaceDE w:val="0"/>
        <w:autoSpaceDN w:val="0"/>
        <w:adjustRightInd w:val="0"/>
        <w:ind w:left="-567" w:firstLine="851"/>
        <w:jc w:val="both"/>
        <w:rPr>
          <w:rFonts w:eastAsia="Times New Roman" w:cs="Times New Roman"/>
          <w:sz w:val="25"/>
          <w:szCs w:val="25"/>
          <w:shd w:val="clear" w:color="auto" w:fill="FFFFFF"/>
          <w:lang w:eastAsia="uk-UA"/>
        </w:rPr>
      </w:pPr>
      <w:r w:rsidRPr="00E0356D">
        <w:rPr>
          <w:rFonts w:eastAsia="Times New Roman" w:cs="Times New Roman"/>
          <w:sz w:val="25"/>
          <w:szCs w:val="25"/>
          <w:shd w:val="clear" w:color="auto" w:fill="FFFFFF"/>
          <w:lang w:eastAsia="uk-UA"/>
        </w:rPr>
        <w:t>підтримка реалізованих форм звітності актуальними відповідно до вимог законодавства. Термін внесення змін до реалізованих форм звітності у разі зміни нормативного акту, яким вона врегульована, не перевищує 15 (п’ятнадцяти) робочих днів з моменту набрання чинності змін до відповідного нормативного акту;</w:t>
      </w:r>
    </w:p>
    <w:p w:rsidR="00E0356D" w:rsidRPr="00E0356D" w:rsidRDefault="00E0356D" w:rsidP="00E0356D">
      <w:pPr>
        <w:widowControl w:val="0"/>
        <w:tabs>
          <w:tab w:val="left" w:pos="851"/>
          <w:tab w:val="left" w:pos="1276"/>
        </w:tabs>
        <w:autoSpaceDE w:val="0"/>
        <w:autoSpaceDN w:val="0"/>
        <w:adjustRightInd w:val="0"/>
        <w:ind w:left="-567" w:firstLine="851"/>
        <w:jc w:val="both"/>
        <w:rPr>
          <w:rFonts w:eastAsia="Times New Roman" w:cs="Times New Roman"/>
          <w:sz w:val="25"/>
          <w:szCs w:val="25"/>
          <w:shd w:val="clear" w:color="auto" w:fill="FFFFFF"/>
          <w:lang w:eastAsia="uk-UA"/>
        </w:rPr>
      </w:pPr>
      <w:r w:rsidRPr="00E0356D">
        <w:rPr>
          <w:rFonts w:eastAsia="Times New Roman" w:cs="Times New Roman"/>
          <w:sz w:val="25"/>
          <w:szCs w:val="25"/>
          <w:shd w:val="clear" w:color="auto" w:fill="FFFFFF"/>
          <w:lang w:eastAsia="uk-UA"/>
        </w:rPr>
        <w:t>реалізація нових форм звітності на вимогу Замовника. Кількість нових форм не може перевищувати 15 (п’ятнадцяти) аркушів формату А4 у загальному обсязі. Термін реалізації нової форми оцінюється за її обсягом Виконавцем, але не більше, ніж 15 (п’ятнадцять) робочих днів.</w:t>
      </w:r>
    </w:p>
    <w:p w:rsidR="00E0356D" w:rsidRPr="00E0356D" w:rsidRDefault="00E0356D" w:rsidP="00E0356D">
      <w:pPr>
        <w:widowControl w:val="0"/>
        <w:tabs>
          <w:tab w:val="left" w:pos="567"/>
          <w:tab w:val="left" w:pos="1276"/>
        </w:tabs>
        <w:autoSpaceDE w:val="0"/>
        <w:autoSpaceDN w:val="0"/>
        <w:adjustRightInd w:val="0"/>
        <w:ind w:firstLine="284"/>
        <w:jc w:val="both"/>
        <w:rPr>
          <w:rFonts w:eastAsia="Times New Roman" w:cs="Times New Roman"/>
          <w:sz w:val="25"/>
          <w:szCs w:val="25"/>
          <w:shd w:val="clear" w:color="auto" w:fill="FFFFFF"/>
          <w:lang w:eastAsia="uk-UA"/>
        </w:rPr>
      </w:pPr>
      <w:r w:rsidRPr="00E0356D">
        <w:rPr>
          <w:rFonts w:eastAsia="Times New Roman" w:cs="Times New Roman"/>
          <w:sz w:val="25"/>
          <w:szCs w:val="25"/>
          <w:shd w:val="clear" w:color="auto" w:fill="FFFFFF"/>
          <w:lang w:eastAsia="uk-UA"/>
        </w:rPr>
        <w:t>Перелік форм, що реалізовані у програмі на вимогу Замовника: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7834"/>
      </w:tblGrid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  <w:t>Код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  <w:t>Найменування</w:t>
            </w:r>
          </w:p>
        </w:tc>
      </w:tr>
      <w:tr w:rsidR="00E0356D" w:rsidRPr="00E0356D" w:rsidTr="00E0356D">
        <w:tc>
          <w:tcPr>
            <w:tcW w:w="9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b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b/>
                <w:sz w:val="25"/>
                <w:szCs w:val="25"/>
                <w:shd w:val="clear" w:color="auto" w:fill="FFFFFF"/>
                <w:lang w:eastAsia="uk-UA"/>
              </w:rPr>
              <w:t>Фінансова звітність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DMF00001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Ярлик до пакету фінансової звітності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DMFINB01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Форма №1-дс Баланс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DMFINR01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Форма №2-дс Звіт про фінансові результати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DMFING01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Форма №3-дс Звіт про рух грошових коштів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DMFINV01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Форма №4-дс Звіт про власний капітал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DMFINP02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Форма №5-дс Примітки до річної фінансової звітності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DMFD0101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Додаток 3. Капітальні інвестиції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DMFD0201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Додаток 4. Довідка про рух грошових документів та готівки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DMFD0301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Додаток 5. Довідка про рух виробничих запасів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DMFD0401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$KPKV. Додаток 2. Довідка про нараховані доходи та фактичні видатки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DM2D0001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$KPKV. Ф №2д Звіт про надходження та використання коштів загального фонду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D" w:rsidRPr="00E0356D" w:rsidRDefault="00E0356D" w:rsidP="00E0356D">
            <w:pPr>
              <w:spacing w:line="256" w:lineRule="auto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E0356D">
              <w:rPr>
                <w:rFonts w:eastAsia="Times New Roman" w:cs="Times New Roman"/>
                <w:sz w:val="24"/>
                <w:szCs w:val="24"/>
                <w:lang w:eastAsia="ru-RU"/>
              </w:rPr>
              <w:t>DMM2D001</w:t>
            </w:r>
          </w:p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D" w:rsidRPr="00E0356D" w:rsidRDefault="00E0356D" w:rsidP="00E0356D">
            <w:pPr>
              <w:spacing w:line="256" w:lineRule="auto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$KPKV.</w:t>
            </w:r>
            <w:r w:rsidRPr="00E0356D">
              <w:rPr>
                <w:rFonts w:eastAsia="Times New Roman" w:cs="Times New Roman"/>
                <w:sz w:val="24"/>
                <w:szCs w:val="24"/>
                <w:lang w:eastAsia="ru-RU"/>
              </w:rPr>
              <w:t>. Інформація про надходження, використання коштів загального фонду та залишок невикористаних асигнувань</w:t>
            </w:r>
          </w:p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DM41D002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$KPKV. Ф №4-1д Звіт про надходження і використання коштів, отриманих як плата за послуги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DM42D002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$KPKV. Ф №4-2д Звіт про надходження і використання коштів, отриманих за іншими джерелами власних надходжень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DM43D102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$KPKV. Ф №4-3д.1 Звіт про надходження і використання інших </w:t>
            </w: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lastRenderedPageBreak/>
              <w:t>надходжень спеціального фонду (кредити (позики) від іноземних держав, іноземних фінансових установ і міжнародних фінансових організацій)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lastRenderedPageBreak/>
              <w:t>DM44D002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$KPKV. Ф №4-4д Звіт про надходження і використання коштів, отриманих як окремі субвенції з місцевого бюджету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DM07DZ01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$KPKV. Ф №7д (</w:t>
            </w:r>
            <w:proofErr w:type="spellStart"/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заг.ф</w:t>
            </w:r>
            <w:proofErr w:type="spellEnd"/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.) Звіт про заборгованість за бюджетними коштами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DM07DS01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$KPKV. Ф №7д (спец. ф.) Звіт про заборгованість за бюджетними коштами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DMD13001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Додаток 13 Довідка про залишки коштів на рахунках в установах банків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DMD14001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Додаток 14 Довідка про депозитні операції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DMD15002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Додаток 15 Довідка про спрямування фактичних обсягів власних надходжень з урахуванням залишків на початок року, які перевищують відповідні витрати, затверджені законом про Державний бюджет України (рішенням про місцевий бюджет)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DMD17002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Додаток 17 Довідка про дебіторську та кредиторську заборгованість за операціями, які не відображаються у формі № 7д, № 7м «Звіт про заборгованість за бюджетними коштами»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DMD19001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$KPKV. Додаток 19 Довідка про надходження та використання окремих власних надходжень бюджетних установ, отриманих у натуральній формі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DMFV0101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Довідка про рух основних засобів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DMFV0201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Довідка про рух внесеного капіталу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DMFV0302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Цільове фінансування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DMFV0401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Довідка про зміни накопиченої амортизації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DMFV0501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Довідка про рух запасів, малоцінних та </w:t>
            </w:r>
            <w:proofErr w:type="spellStart"/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швидкозношувальних</w:t>
            </w:r>
            <w:proofErr w:type="spellEnd"/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предметів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DMFV5A01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Розшифрування відомчої форми №5 "Довідка про рух запасів, малоцінних та </w:t>
            </w:r>
            <w:proofErr w:type="spellStart"/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швидкозношувальних</w:t>
            </w:r>
            <w:proofErr w:type="spellEnd"/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предметів"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DMFV0601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Аналіз фінансово-господарської діяльності (загальний фонд)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DMFV0701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Характеристика фінансово-економічної діяльності митного органу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DMFV0801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Аналіз використання власних надходжень бюджетних установ (1 група)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DMFV0901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Довідка про зміни фінансового результату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DMFV1001 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Інформація про залишки майна на окремих рахунках позабалансового обліку (у розрізі субрахунків)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DMFP0004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Схема перевірки окремих показників фінансової, бюджетної та відомчої звітності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DMFVP002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shd w:val="clear" w:color="auto" w:fill="FFFFFF"/>
                <w:lang w:eastAsia="uk-UA"/>
              </w:rPr>
            </w:pPr>
            <w:proofErr w:type="spellStart"/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Розшифровка</w:t>
            </w:r>
            <w:proofErr w:type="spellEnd"/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внутривідомчої</w:t>
            </w:r>
            <w:proofErr w:type="spellEnd"/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передачі основних засобів, матеріальних цінностей, незавершених капітальних інвестицій, нарахованої амортизації у розрізі територіальних органів Держмитслужби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DMFVP101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Розшифровка</w:t>
            </w:r>
            <w:proofErr w:type="spellEnd"/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внутривідомчого</w:t>
            </w:r>
            <w:proofErr w:type="spellEnd"/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перерахування коштів спеціального фонду за </w:t>
            </w:r>
            <w:proofErr w:type="spellStart"/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за</w:t>
            </w:r>
            <w:proofErr w:type="spellEnd"/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рахунок залишку коштів на початок року та надходжень поточного року у розрізі територіальних органів Держмитслужби</w:t>
            </w:r>
          </w:p>
        </w:tc>
      </w:tr>
      <w:tr w:rsidR="00E0356D" w:rsidRPr="00E0356D" w:rsidTr="00E0356D">
        <w:tc>
          <w:tcPr>
            <w:tcW w:w="9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b/>
                <w:sz w:val="25"/>
                <w:szCs w:val="25"/>
                <w:lang w:eastAsia="ru-RU"/>
              </w:rPr>
            </w:pPr>
            <w:r w:rsidRPr="00E0356D">
              <w:rPr>
                <w:rFonts w:eastAsia="Times New Roman" w:cs="Times New Roman"/>
                <w:b/>
                <w:sz w:val="25"/>
                <w:szCs w:val="25"/>
                <w:lang w:eastAsia="ru-RU"/>
              </w:rPr>
              <w:t>Планування кошторису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DMPD0101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Проєкт</w:t>
            </w:r>
            <w:proofErr w:type="spellEnd"/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кошторису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DMPD0901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Додаток 9 Розрахунок очікуваних надходжень до спеціального фонду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lastRenderedPageBreak/>
              <w:t>DMPD0801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Додаток 8. Розрахунок надходжень спеціального фонду державного бюджету за рахунок плати за послуги, що надаються бюджетними установами згідно з їх основною діяльністю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DMPD7101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Додаток 7.1. Розрахунки, які обґрунтовують показники </w:t>
            </w:r>
            <w:proofErr w:type="spellStart"/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проєкту</w:t>
            </w:r>
            <w:proofErr w:type="spellEnd"/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кошторису за КЕКВ 2250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DMPD7S01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Додаток 7. Розрахунок видатків за спеціальним фондом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DMPD7Z01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Додаток 7. Розрахунок видатків за загальним фондом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0356D">
              <w:rPr>
                <w:rFonts w:eastAsia="Times New Roman" w:cs="Times New Roman"/>
                <w:sz w:val="24"/>
                <w:szCs w:val="24"/>
                <w:lang w:eastAsia="ru-RU"/>
              </w:rPr>
              <w:t>DMPD7K01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spacing w:line="256" w:lineRule="auto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E0356D">
              <w:rPr>
                <w:rFonts w:eastAsia="Times New Roman" w:cs="Times New Roman"/>
                <w:sz w:val="24"/>
                <w:szCs w:val="24"/>
                <w:lang w:eastAsia="ru-RU"/>
              </w:rPr>
              <w:t>Додаток 7к. Розрахунок касових та затверджених видатків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DMPD6101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Додаток 6.1. Інформація щодо тарифів за КЕКВ 2270 "Оплата комунальних послуг та енергоносіїв"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DMPD0601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Додаток 6. Розрахунок видатків на оплату комунальних послуг та енергоносіїв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DMPD4V01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Додаток 4В. Розрахунок окремих капітальних видатків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DMPD4B01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Додаток 4Б. Пропозиції щодо </w:t>
            </w:r>
            <w:proofErr w:type="spellStart"/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щодо</w:t>
            </w:r>
            <w:proofErr w:type="spellEnd"/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капітальних видатків (КЕКВ 3120, 3130, 3140, 3210)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DMPD4201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Додаток 4А. Пропозиції щодо капітальних видатків (КЕКВ 3110, 3150, 3160, 3210, 3230, 3240) за спеціальним фондом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DMPD4101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Додаток 4А. Пропозиції щодо капітальних видатків (КЕКВ 3110, 3150, 3160, 3210, 3230, 3240) за загальним фондом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DMPD4A01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Додаток 4А. Пропозиції щодо капітальних видатків (КЕКВ 3110, 3150, 3160, 3210, 3230, 3240)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DMPD0301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Додаток 3. БЮДЖЕТНА ПРОПОЗИЦІЯ (ФОРМА 4)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DMPD0201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Додаток 2. Розрахунок видатків по заробітній платі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DMPD1301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Додаток 13. Загальна характеристика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DMPD1201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val="ru-RU" w:eastAsia="ru-RU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Додаток 12. Зведення показників спеціального фонду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DMPD1101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Додаток 11. Розрахунок надходжень спеціального фонду державного бюджету до проекту кошторису</w:t>
            </w:r>
          </w:p>
        </w:tc>
      </w:tr>
      <w:tr w:rsidR="00E0356D" w:rsidRPr="00E0356D" w:rsidTr="00E0356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DMPD1001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6D" w:rsidRPr="00E0356D" w:rsidRDefault="00E0356D" w:rsidP="00E0356D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E0356D">
              <w:rPr>
                <w:rFonts w:eastAsia="Times New Roman" w:cs="Times New Roman"/>
                <w:sz w:val="25"/>
                <w:szCs w:val="25"/>
                <w:lang w:eastAsia="ru-RU"/>
              </w:rPr>
              <w:t>Додаток 10. Розрахунок очікуваних надходжень до спеціального фонду від реалізації в установленому порядку майна</w:t>
            </w:r>
          </w:p>
        </w:tc>
      </w:tr>
    </w:tbl>
    <w:p w:rsidR="00E0356D" w:rsidRPr="00E0356D" w:rsidRDefault="00E0356D" w:rsidP="00E0356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left="567"/>
        <w:contextualSpacing/>
        <w:jc w:val="both"/>
        <w:rPr>
          <w:rFonts w:eastAsia="Times New Roman" w:cs="Times New Roman"/>
          <w:sz w:val="25"/>
          <w:szCs w:val="25"/>
          <w:shd w:val="clear" w:color="auto" w:fill="FFFFFF"/>
          <w:lang w:eastAsia="uk-UA"/>
        </w:rPr>
      </w:pPr>
    </w:p>
    <w:p w:rsidR="00E0356D" w:rsidRPr="00E0356D" w:rsidRDefault="00E0356D" w:rsidP="00E0356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5"/>
          <w:szCs w:val="25"/>
          <w:shd w:val="clear" w:color="auto" w:fill="FFFFFF"/>
          <w:lang w:eastAsia="uk-UA"/>
        </w:rPr>
      </w:pPr>
      <w:r w:rsidRPr="00E0356D">
        <w:rPr>
          <w:rFonts w:eastAsia="Times New Roman" w:cs="Times New Roman"/>
          <w:sz w:val="25"/>
          <w:szCs w:val="25"/>
          <w:lang w:eastAsia="uk-UA"/>
        </w:rPr>
        <w:t>2.5.3. Послуги супроводу</w:t>
      </w:r>
      <w:r w:rsidRPr="00E0356D">
        <w:rPr>
          <w:rFonts w:eastAsia="Times New Roman" w:cs="Times New Roman"/>
          <w:sz w:val="25"/>
          <w:szCs w:val="25"/>
          <w:shd w:val="clear" w:color="auto" w:fill="FFFFFF"/>
          <w:lang w:eastAsia="uk-UA"/>
        </w:rPr>
        <w:t xml:space="preserve"> забезпечується Виконавцем </w:t>
      </w:r>
      <w:r w:rsidRPr="00E0356D">
        <w:rPr>
          <w:rFonts w:eastAsia="Times New Roman" w:cs="Times New Roman"/>
          <w:sz w:val="25"/>
          <w:szCs w:val="25"/>
          <w:lang w:eastAsia="uk-UA"/>
        </w:rPr>
        <w:t>з 9.00 год. до 18.00 год. з понеділка по п’ятницю, за виключенням вихідних, святкових та неробочих днів.</w:t>
      </w:r>
    </w:p>
    <w:p w:rsidR="00E0356D" w:rsidRPr="00E0356D" w:rsidRDefault="00E0356D" w:rsidP="00E0356D">
      <w:pPr>
        <w:ind w:left="60" w:firstLine="560"/>
        <w:jc w:val="both"/>
        <w:rPr>
          <w:rFonts w:eastAsia="Times New Roman" w:cs="Times New Roman"/>
          <w:sz w:val="25"/>
          <w:szCs w:val="25"/>
          <w:shd w:val="clear" w:color="auto" w:fill="FFFFFF"/>
          <w:lang w:eastAsia="uk-UA"/>
        </w:rPr>
      </w:pPr>
    </w:p>
    <w:p w:rsidR="00E0356D" w:rsidRPr="00E0356D" w:rsidRDefault="00E0356D" w:rsidP="00E0356D">
      <w:pPr>
        <w:widowControl w:val="0"/>
        <w:tabs>
          <w:tab w:val="left" w:pos="851"/>
        </w:tabs>
        <w:ind w:firstLine="567"/>
        <w:jc w:val="both"/>
        <w:rPr>
          <w:rFonts w:eastAsia="Times New Roman" w:cs="Times New Roman"/>
          <w:sz w:val="25"/>
          <w:szCs w:val="25"/>
          <w:lang w:eastAsia="uk-UA"/>
        </w:rPr>
      </w:pPr>
      <w:r w:rsidRPr="00E0356D">
        <w:rPr>
          <w:rFonts w:eastAsia="Times New Roman" w:cs="Times New Roman"/>
          <w:sz w:val="25"/>
          <w:szCs w:val="25"/>
          <w:lang w:val="ru-RU" w:eastAsia="uk-UA"/>
        </w:rPr>
        <w:t>3</w:t>
      </w:r>
      <w:r w:rsidRPr="00E0356D">
        <w:rPr>
          <w:rFonts w:eastAsia="Times New Roman" w:cs="Times New Roman"/>
          <w:sz w:val="25"/>
          <w:szCs w:val="25"/>
          <w:lang w:eastAsia="uk-UA"/>
        </w:rPr>
        <w:t xml:space="preserve">. Якість Послуг супроводу повинна відповідати </w:t>
      </w:r>
      <w:r w:rsidRPr="00E0356D">
        <w:rPr>
          <w:rFonts w:eastAsia="Times New Roman" w:cs="Times New Roman"/>
          <w:sz w:val="25"/>
          <w:szCs w:val="25"/>
          <w:shd w:val="clear" w:color="auto" w:fill="FFFFFF"/>
          <w:lang w:eastAsia="uk-UA"/>
        </w:rPr>
        <w:t>умовам Договору та Технічним вимогам надання Послуг</w:t>
      </w:r>
      <w:r w:rsidRPr="00E0356D">
        <w:rPr>
          <w:rFonts w:eastAsia="Times New Roman" w:cs="Times New Roman"/>
          <w:sz w:val="25"/>
          <w:szCs w:val="25"/>
          <w:lang w:eastAsia="uk-UA"/>
        </w:rPr>
        <w:t>.</w:t>
      </w:r>
    </w:p>
    <w:p w:rsidR="00E0356D" w:rsidRPr="00E0356D" w:rsidRDefault="00E0356D" w:rsidP="00E0356D">
      <w:pPr>
        <w:widowControl w:val="0"/>
        <w:tabs>
          <w:tab w:val="left" w:pos="1134"/>
        </w:tabs>
        <w:ind w:firstLine="567"/>
        <w:jc w:val="both"/>
        <w:rPr>
          <w:rFonts w:eastAsia="Times New Roman" w:cs="Times New Roman"/>
          <w:sz w:val="25"/>
          <w:szCs w:val="25"/>
          <w:lang w:eastAsia="uk-UA"/>
        </w:rPr>
      </w:pPr>
      <w:r w:rsidRPr="00E0356D">
        <w:rPr>
          <w:rFonts w:eastAsia="Times New Roman" w:cs="Times New Roman"/>
          <w:sz w:val="25"/>
          <w:szCs w:val="25"/>
          <w:lang w:eastAsia="uk-UA"/>
        </w:rPr>
        <w:t xml:space="preserve">Якість Програмного забезпечення повинна відповідати рівню гарантії захисту </w:t>
      </w:r>
      <w:r w:rsidRPr="00E0356D">
        <w:rPr>
          <w:rFonts w:eastAsia="Times New Roman" w:cs="Times New Roman"/>
          <w:sz w:val="25"/>
          <w:szCs w:val="25"/>
          <w:lang w:eastAsia="uk-UA"/>
        </w:rPr>
        <w:br/>
        <w:t>Г2</w:t>
      </w:r>
      <w:r w:rsidRPr="00E0356D">
        <w:rPr>
          <w:rFonts w:eastAsia="Times New Roman" w:cs="Times New Roman"/>
          <w:sz w:val="25"/>
          <w:szCs w:val="25"/>
          <w:shd w:val="clear" w:color="auto" w:fill="FFFFFF"/>
          <w:lang w:eastAsia="uk-UA"/>
        </w:rPr>
        <w:t> – </w:t>
      </w:r>
      <w:r w:rsidRPr="00E0356D">
        <w:rPr>
          <w:rFonts w:eastAsia="Times New Roman" w:cs="Times New Roman"/>
          <w:sz w:val="25"/>
          <w:szCs w:val="25"/>
          <w:lang w:eastAsia="uk-UA"/>
        </w:rPr>
        <w:t xml:space="preserve">Г3 згідно з  НД ТЗІ 2.5-004-99 «Критерії оцінки захищеності інформації в комп’ютерних системах від несанкціонованого доступу», затвердженого наказом Департаменту спеціальних телекомунікаційних систем та захисту інформації Служби безпеки України від 28 квітня 1999 р. № 22 із змінами згідно з наказом Адміністрації </w:t>
      </w:r>
      <w:proofErr w:type="spellStart"/>
      <w:r w:rsidRPr="00E0356D">
        <w:rPr>
          <w:rFonts w:eastAsia="Times New Roman" w:cs="Times New Roman"/>
          <w:sz w:val="25"/>
          <w:szCs w:val="25"/>
          <w:lang w:eastAsia="uk-UA"/>
        </w:rPr>
        <w:t>Держспецзв’язку</w:t>
      </w:r>
      <w:proofErr w:type="spellEnd"/>
      <w:r w:rsidRPr="00E0356D">
        <w:rPr>
          <w:rFonts w:eastAsia="Times New Roman" w:cs="Times New Roman"/>
          <w:sz w:val="25"/>
          <w:szCs w:val="25"/>
          <w:lang w:eastAsia="uk-UA"/>
        </w:rPr>
        <w:t xml:space="preserve"> від 28.12.2012 № 806 та повинна забезпечувати належне використання Програмного забезпечення за його функціональним призначенням, а також відповідно до умов Договору та Технічних вимог надання Послуг.</w:t>
      </w:r>
    </w:p>
    <w:p w:rsidR="00343E95" w:rsidRDefault="00343E95" w:rsidP="00E0356D">
      <w:pPr>
        <w:spacing w:before="480"/>
        <w:ind w:firstLine="360"/>
        <w:jc w:val="center"/>
        <w:rPr>
          <w:b/>
          <w:bCs/>
          <w:color w:val="000000" w:themeColor="text1"/>
          <w:sz w:val="24"/>
          <w:szCs w:val="24"/>
          <w:lang w:eastAsia="uk-UA"/>
        </w:rPr>
      </w:pPr>
    </w:p>
    <w:sectPr w:rsidR="00343E95" w:rsidSect="00DD27E5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7E5" w:rsidRDefault="00DD27E5" w:rsidP="00DD27E5">
      <w:r>
        <w:separator/>
      </w:r>
    </w:p>
  </w:endnote>
  <w:endnote w:type="continuationSeparator" w:id="0">
    <w:p w:rsidR="00DD27E5" w:rsidRDefault="00DD27E5" w:rsidP="00DD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7E5" w:rsidRDefault="00DD27E5" w:rsidP="00DD27E5">
      <w:r>
        <w:separator/>
      </w:r>
    </w:p>
  </w:footnote>
  <w:footnote w:type="continuationSeparator" w:id="0">
    <w:p w:rsidR="00DD27E5" w:rsidRDefault="00DD27E5" w:rsidP="00DD2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84666"/>
      <w:docPartObj>
        <w:docPartGallery w:val="Page Numbers (Top of Page)"/>
        <w:docPartUnique/>
      </w:docPartObj>
    </w:sdtPr>
    <w:sdtEndPr/>
    <w:sdtContent>
      <w:p w:rsidR="00DD27E5" w:rsidRDefault="00DD27E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56D">
          <w:rPr>
            <w:noProof/>
          </w:rPr>
          <w:t>3</w:t>
        </w:r>
        <w:r>
          <w:fldChar w:fldCharType="end"/>
        </w:r>
      </w:p>
    </w:sdtContent>
  </w:sdt>
  <w:p w:rsidR="00DD27E5" w:rsidRDefault="00DD27E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2048B1"/>
    <w:multiLevelType w:val="multilevel"/>
    <w:tmpl w:val="F11095F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531B8D"/>
    <w:multiLevelType w:val="multilevel"/>
    <w:tmpl w:val="37EA6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425"/>
        </w:tabs>
        <w:ind w:left="-709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4395"/>
        </w:tabs>
        <w:ind w:left="2977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-709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76"/>
        </w:tabs>
        <w:ind w:left="-709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-709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43"/>
        </w:tabs>
        <w:ind w:left="-709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26"/>
        </w:tabs>
        <w:ind w:left="-709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10"/>
        </w:tabs>
        <w:ind w:left="-709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3"/>
        </w:tabs>
        <w:ind w:left="-709" w:firstLine="709"/>
      </w:pPr>
      <w:rPr>
        <w:rFonts w:hint="default"/>
      </w:rPr>
    </w:lvl>
  </w:abstractNum>
  <w:abstractNum w:abstractNumId="4" w15:restartNumberingAfterBreak="0">
    <w:nsid w:val="1AB678B6"/>
    <w:multiLevelType w:val="hybridMultilevel"/>
    <w:tmpl w:val="7492A33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A49D2"/>
    <w:multiLevelType w:val="hybridMultilevel"/>
    <w:tmpl w:val="81D42374"/>
    <w:lvl w:ilvl="0" w:tplc="3CF28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B74520"/>
    <w:multiLevelType w:val="hybridMultilevel"/>
    <w:tmpl w:val="566E488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76F7432"/>
    <w:multiLevelType w:val="hybridMultilevel"/>
    <w:tmpl w:val="40AA4A2E"/>
    <w:lvl w:ilvl="0" w:tplc="234A1D08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8754489"/>
    <w:multiLevelType w:val="hybridMultilevel"/>
    <w:tmpl w:val="E6BA00C6"/>
    <w:lvl w:ilvl="0" w:tplc="7406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226FC"/>
    <w:multiLevelType w:val="multilevel"/>
    <w:tmpl w:val="A5902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5B51177"/>
    <w:multiLevelType w:val="multilevel"/>
    <w:tmpl w:val="08BC5B2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2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5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91A10"/>
    <w:multiLevelType w:val="hybridMultilevel"/>
    <w:tmpl w:val="F254387C"/>
    <w:lvl w:ilvl="0" w:tplc="4F6EA040">
      <w:start w:val="1"/>
      <w:numFmt w:val="decimal"/>
      <w:pStyle w:val="a"/>
      <w:lvlText w:val="%1."/>
      <w:lvlJc w:val="left"/>
      <w:pPr>
        <w:ind w:left="786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AF8345B"/>
    <w:multiLevelType w:val="multilevel"/>
    <w:tmpl w:val="3DDCB2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E535E7D"/>
    <w:multiLevelType w:val="hybridMultilevel"/>
    <w:tmpl w:val="66424D5E"/>
    <w:lvl w:ilvl="0" w:tplc="5D1A34D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AD0A5F"/>
    <w:multiLevelType w:val="hybridMultilevel"/>
    <w:tmpl w:val="78FAA9D6"/>
    <w:lvl w:ilvl="0" w:tplc="F190DE3E">
      <w:start w:val="1"/>
      <w:numFmt w:val="bullet"/>
      <w:lvlText w:val=""/>
      <w:lvlJc w:val="left"/>
      <w:pPr>
        <w:tabs>
          <w:tab w:val="num" w:pos="714"/>
        </w:tabs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66FE6C73"/>
    <w:multiLevelType w:val="multilevel"/>
    <w:tmpl w:val="9FA4E63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9141D"/>
    <w:multiLevelType w:val="hybridMultilevel"/>
    <w:tmpl w:val="74CAF7CA"/>
    <w:lvl w:ilvl="0" w:tplc="239A48A0">
      <w:numFmt w:val="bullet"/>
      <w:lvlText w:val="-"/>
      <w:lvlJc w:val="left"/>
      <w:pPr>
        <w:ind w:left="17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3" w15:restartNumberingAfterBreak="0">
    <w:nsid w:val="6A1206F4"/>
    <w:multiLevelType w:val="multilevel"/>
    <w:tmpl w:val="D2E67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665B8"/>
    <w:multiLevelType w:val="hybridMultilevel"/>
    <w:tmpl w:val="C93C9094"/>
    <w:lvl w:ilvl="0" w:tplc="70C6F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6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72707"/>
    <w:multiLevelType w:val="hybridMultilevel"/>
    <w:tmpl w:val="00F87B0A"/>
    <w:lvl w:ilvl="0" w:tplc="F190DE3E">
      <w:start w:val="1"/>
      <w:numFmt w:val="bullet"/>
      <w:lvlText w:val=""/>
      <w:lvlJc w:val="left"/>
      <w:pPr>
        <w:tabs>
          <w:tab w:val="num" w:pos="330"/>
        </w:tabs>
        <w:ind w:left="1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8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746C0"/>
    <w:multiLevelType w:val="hybridMultilevel"/>
    <w:tmpl w:val="0B5899B8"/>
    <w:lvl w:ilvl="0" w:tplc="F3D00E5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5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8"/>
  </w:num>
  <w:num w:numId="6">
    <w:abstractNumId w:val="3"/>
  </w:num>
  <w:num w:numId="7">
    <w:abstractNumId w:val="19"/>
  </w:num>
  <w:num w:numId="8">
    <w:abstractNumId w:val="13"/>
  </w:num>
  <w:num w:numId="9">
    <w:abstractNumId w:val="12"/>
  </w:num>
  <w:num w:numId="10">
    <w:abstractNumId w:val="26"/>
  </w:num>
  <w:num w:numId="11">
    <w:abstractNumId w:val="15"/>
  </w:num>
  <w:num w:numId="12">
    <w:abstractNumId w:val="23"/>
  </w:num>
  <w:num w:numId="13">
    <w:abstractNumId w:val="2"/>
  </w:num>
  <w:num w:numId="14">
    <w:abstractNumId w:val="10"/>
  </w:num>
  <w:num w:numId="15">
    <w:abstractNumId w:val="21"/>
  </w:num>
  <w:num w:numId="16">
    <w:abstractNumId w:val="1"/>
  </w:num>
  <w:num w:numId="17">
    <w:abstractNumId w:val="16"/>
  </w:num>
  <w:num w:numId="18">
    <w:abstractNumId w:val="29"/>
  </w:num>
  <w:num w:numId="19">
    <w:abstractNumId w:val="17"/>
  </w:num>
  <w:num w:numId="20">
    <w:abstractNumId w:val="9"/>
  </w:num>
  <w:num w:numId="21">
    <w:abstractNumId w:val="8"/>
  </w:num>
  <w:num w:numId="22">
    <w:abstractNumId w:val="24"/>
  </w:num>
  <w:num w:numId="23">
    <w:abstractNumId w:val="22"/>
  </w:num>
  <w:num w:numId="24">
    <w:abstractNumId w:val="6"/>
  </w:num>
  <w:num w:numId="25">
    <w:abstractNumId w:val="4"/>
  </w:num>
  <w:num w:numId="26">
    <w:abstractNumId w:val="27"/>
  </w:num>
  <w:num w:numId="27">
    <w:abstractNumId w:val="7"/>
  </w:num>
  <w:num w:numId="28">
    <w:abstractNumId w:val="20"/>
  </w:num>
  <w:num w:numId="29">
    <w:abstractNumId w:val="4"/>
  </w:num>
  <w:num w:numId="30">
    <w:abstractNumId w:val="7"/>
  </w:num>
  <w:num w:numId="31">
    <w:abstractNumId w:val="27"/>
  </w:num>
  <w:num w:numId="32">
    <w:abstractNumId w:val="20"/>
  </w:num>
  <w:num w:numId="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4B71"/>
    <w:rsid w:val="0003718E"/>
    <w:rsid w:val="000C6E30"/>
    <w:rsid w:val="000D44F5"/>
    <w:rsid w:val="00137FCC"/>
    <w:rsid w:val="001463DB"/>
    <w:rsid w:val="0018781F"/>
    <w:rsid w:val="00271531"/>
    <w:rsid w:val="00307378"/>
    <w:rsid w:val="0033663D"/>
    <w:rsid w:val="00343E95"/>
    <w:rsid w:val="00402568"/>
    <w:rsid w:val="00464A76"/>
    <w:rsid w:val="00534801"/>
    <w:rsid w:val="005467FC"/>
    <w:rsid w:val="005527AD"/>
    <w:rsid w:val="0055505C"/>
    <w:rsid w:val="006F557D"/>
    <w:rsid w:val="00710917"/>
    <w:rsid w:val="00731875"/>
    <w:rsid w:val="007329CB"/>
    <w:rsid w:val="00733068"/>
    <w:rsid w:val="007E48A6"/>
    <w:rsid w:val="0084248B"/>
    <w:rsid w:val="008463DD"/>
    <w:rsid w:val="00860A1D"/>
    <w:rsid w:val="008A5BE0"/>
    <w:rsid w:val="0092337D"/>
    <w:rsid w:val="00957C68"/>
    <w:rsid w:val="00984C2C"/>
    <w:rsid w:val="00993A20"/>
    <w:rsid w:val="009B5358"/>
    <w:rsid w:val="009B6ECD"/>
    <w:rsid w:val="00A238BF"/>
    <w:rsid w:val="00B24970"/>
    <w:rsid w:val="00BC2816"/>
    <w:rsid w:val="00C0074F"/>
    <w:rsid w:val="00D56785"/>
    <w:rsid w:val="00DD27E5"/>
    <w:rsid w:val="00E0356D"/>
    <w:rsid w:val="00E847A4"/>
    <w:rsid w:val="00EE391C"/>
    <w:rsid w:val="00F85FDD"/>
    <w:rsid w:val="00FA6E71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9A246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D56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E48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0"/>
    <w:link w:val="a5"/>
    <w:uiPriority w:val="34"/>
    <w:qFormat/>
    <w:rsid w:val="0003718E"/>
    <w:pPr>
      <w:ind w:left="720"/>
      <w:contextualSpacing/>
    </w:p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4"/>
    <w:uiPriority w:val="99"/>
    <w:qFormat/>
    <w:rsid w:val="0003718E"/>
    <w:rPr>
      <w:rFonts w:ascii="Times New Roman" w:hAnsi="Times New Roman"/>
      <w:sz w:val="28"/>
    </w:rPr>
  </w:style>
  <w:style w:type="character" w:styleId="a6">
    <w:name w:val="Emphasis"/>
    <w:uiPriority w:val="99"/>
    <w:qFormat/>
    <w:rsid w:val="005527AD"/>
    <w:rPr>
      <w:i/>
      <w:iCs/>
    </w:rPr>
  </w:style>
  <w:style w:type="paragraph" w:customStyle="1" w:styleId="a7">
    <w:name w:val="Номер"/>
    <w:basedOn w:val="a0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1"/>
    <w:link w:val="a8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aa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b">
    <w:name w:val="Normal (Web)"/>
    <w:aliases w:val="Обычный (Web)"/>
    <w:basedOn w:val="a0"/>
    <w:uiPriority w:val="99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ac">
    <w:name w:val="Абзац ТВ"/>
    <w:basedOn w:val="a0"/>
    <w:rsid w:val="00D56785"/>
    <w:pPr>
      <w:ind w:firstLine="567"/>
      <w:jc w:val="both"/>
    </w:pPr>
    <w:rPr>
      <w:rFonts w:eastAsia="Calibri" w:cs="Times New Roman"/>
      <w:sz w:val="24"/>
      <w:szCs w:val="24"/>
      <w:lang w:eastAsia="uk-UA"/>
    </w:rPr>
  </w:style>
  <w:style w:type="table" w:customStyle="1" w:styleId="11">
    <w:name w:val="Сетка таблицы1"/>
    <w:basedOn w:val="a2"/>
    <w:next w:val="ad"/>
    <w:uiPriority w:val="59"/>
    <w:rsid w:val="00D567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аголовок ТВ"/>
    <w:basedOn w:val="1"/>
    <w:qFormat/>
    <w:rsid w:val="00D56785"/>
    <w:pPr>
      <w:keepLines w:val="0"/>
      <w:numPr>
        <w:numId w:val="17"/>
      </w:numPr>
      <w:tabs>
        <w:tab w:val="left" w:pos="993"/>
      </w:tabs>
      <w:spacing w:before="280"/>
      <w:ind w:left="0" w:firstLine="567"/>
      <w:contextualSpacing/>
      <w:jc w:val="both"/>
    </w:pPr>
    <w:rPr>
      <w:rFonts w:ascii="Times New Roman" w:eastAsia="Calibri" w:hAnsi="Times New Roman" w:cs="Times New Roman"/>
      <w:b/>
      <w:bCs/>
      <w:color w:val="000000" w:themeColor="text1"/>
      <w:sz w:val="24"/>
      <w:szCs w:val="24"/>
      <w:lang w:eastAsia="uk-UA"/>
    </w:rPr>
  </w:style>
  <w:style w:type="table" w:styleId="ad">
    <w:name w:val="Table Grid"/>
    <w:basedOn w:val="a2"/>
    <w:uiPriority w:val="39"/>
    <w:rsid w:val="00D5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D56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Номер2"/>
    <w:basedOn w:val="a7"/>
    <w:qFormat/>
    <w:rsid w:val="00D56785"/>
    <w:pPr>
      <w:tabs>
        <w:tab w:val="clear" w:pos="1134"/>
        <w:tab w:val="num" w:pos="5104"/>
      </w:tabs>
      <w:spacing w:before="0"/>
      <w:ind w:left="3686"/>
    </w:pPr>
    <w:rPr>
      <w:rFonts w:ascii="Times New Roman" w:hAnsi="Times New Roman" w:cs="Times New Roman"/>
      <w:szCs w:val="24"/>
      <w:lang w:val="x-none"/>
    </w:rPr>
  </w:style>
  <w:style w:type="paragraph" w:customStyle="1" w:styleId="30">
    <w:name w:val="Номер3"/>
    <w:basedOn w:val="21"/>
    <w:rsid w:val="00D56785"/>
    <w:pPr>
      <w:tabs>
        <w:tab w:val="clear" w:pos="5104"/>
        <w:tab w:val="num" w:pos="1701"/>
      </w:tabs>
      <w:ind w:left="0"/>
    </w:pPr>
  </w:style>
  <w:style w:type="paragraph" w:customStyle="1" w:styleId="4">
    <w:name w:val="Номер4"/>
    <w:basedOn w:val="30"/>
    <w:rsid w:val="00D56785"/>
    <w:pPr>
      <w:tabs>
        <w:tab w:val="clear" w:pos="1701"/>
        <w:tab w:val="num" w:pos="1985"/>
      </w:tabs>
    </w:pPr>
  </w:style>
  <w:style w:type="paragraph" w:customStyle="1" w:styleId="5">
    <w:name w:val="Номер5"/>
    <w:basedOn w:val="4"/>
    <w:rsid w:val="00D56785"/>
    <w:pPr>
      <w:tabs>
        <w:tab w:val="clear" w:pos="1985"/>
        <w:tab w:val="num" w:pos="2268"/>
      </w:tabs>
    </w:pPr>
  </w:style>
  <w:style w:type="paragraph" w:customStyle="1" w:styleId="6">
    <w:name w:val="Номер6"/>
    <w:basedOn w:val="5"/>
    <w:rsid w:val="00D56785"/>
    <w:pPr>
      <w:tabs>
        <w:tab w:val="clear" w:pos="2268"/>
        <w:tab w:val="num" w:pos="2552"/>
      </w:tabs>
    </w:pPr>
  </w:style>
  <w:style w:type="paragraph" w:customStyle="1" w:styleId="7">
    <w:name w:val="Номер7"/>
    <w:basedOn w:val="6"/>
    <w:rsid w:val="00D56785"/>
    <w:pPr>
      <w:tabs>
        <w:tab w:val="clear" w:pos="2552"/>
        <w:tab w:val="num" w:pos="2835"/>
      </w:tabs>
    </w:pPr>
  </w:style>
  <w:style w:type="paragraph" w:customStyle="1" w:styleId="8">
    <w:name w:val="Номер8"/>
    <w:basedOn w:val="7"/>
    <w:rsid w:val="00D56785"/>
    <w:pPr>
      <w:tabs>
        <w:tab w:val="clear" w:pos="2835"/>
        <w:tab w:val="num" w:pos="3119"/>
      </w:tabs>
    </w:pPr>
  </w:style>
  <w:style w:type="paragraph" w:customStyle="1" w:styleId="9">
    <w:name w:val="Номер9"/>
    <w:basedOn w:val="8"/>
    <w:rsid w:val="00D56785"/>
    <w:pPr>
      <w:tabs>
        <w:tab w:val="clear" w:pos="3119"/>
        <w:tab w:val="num" w:pos="3402"/>
      </w:tabs>
    </w:pPr>
  </w:style>
  <w:style w:type="character" w:customStyle="1" w:styleId="20">
    <w:name w:val="Заголовок 2 Знак"/>
    <w:basedOn w:val="a1"/>
    <w:link w:val="2"/>
    <w:uiPriority w:val="9"/>
    <w:semiHidden/>
    <w:rsid w:val="007E48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Hyperlink"/>
    <w:basedOn w:val="a1"/>
    <w:uiPriority w:val="99"/>
    <w:unhideWhenUsed/>
    <w:rsid w:val="007E48A6"/>
    <w:rPr>
      <w:color w:val="0563C1" w:themeColor="hyperlink"/>
      <w:u w:val="single"/>
    </w:rPr>
  </w:style>
  <w:style w:type="character" w:customStyle="1" w:styleId="22">
    <w:name w:val="Основной текст (2)_"/>
    <w:basedOn w:val="a1"/>
    <w:link w:val="23"/>
    <w:rsid w:val="005550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55505C"/>
    <w:pPr>
      <w:widowControl w:val="0"/>
      <w:shd w:val="clear" w:color="auto" w:fill="FFFFFF"/>
      <w:spacing w:after="480" w:line="370" w:lineRule="exact"/>
    </w:pPr>
    <w:rPr>
      <w:rFonts w:eastAsia="Times New Roman" w:cs="Times New Roman"/>
      <w:sz w:val="26"/>
      <w:szCs w:val="26"/>
    </w:rPr>
  </w:style>
  <w:style w:type="paragraph" w:customStyle="1" w:styleId="12">
    <w:name w:val="Абзац списка1"/>
    <w:basedOn w:val="a0"/>
    <w:rsid w:val="00034B71"/>
    <w:pPr>
      <w:ind w:left="720"/>
    </w:pPr>
    <w:rPr>
      <w:rFonts w:eastAsia="Times New Roman" w:cs="Times New Roman"/>
      <w:sz w:val="24"/>
      <w:szCs w:val="24"/>
      <w:lang w:eastAsia="ru-RU"/>
    </w:rPr>
  </w:style>
  <w:style w:type="paragraph" w:customStyle="1" w:styleId="24">
    <w:name w:val="Абзац списка2"/>
    <w:basedOn w:val="a0"/>
    <w:rsid w:val="00034B71"/>
    <w:pPr>
      <w:widowControl w:val="0"/>
      <w:ind w:left="720"/>
    </w:pPr>
    <w:rPr>
      <w:rFonts w:eastAsia="Calibri" w:cs="Times New Roman"/>
      <w:b/>
      <w:sz w:val="20"/>
      <w:szCs w:val="20"/>
      <w:lang w:eastAsia="ru-RU"/>
    </w:rPr>
  </w:style>
  <w:style w:type="character" w:customStyle="1" w:styleId="apple-style-span">
    <w:name w:val="apple-style-span"/>
    <w:rsid w:val="00034B71"/>
  </w:style>
  <w:style w:type="paragraph" w:customStyle="1" w:styleId="110">
    <w:name w:val="Абзац списка11"/>
    <w:basedOn w:val="a0"/>
    <w:rsid w:val="00034B71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  <w:style w:type="paragraph" w:styleId="af">
    <w:name w:val="header"/>
    <w:basedOn w:val="a0"/>
    <w:link w:val="af0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1"/>
    <w:link w:val="af"/>
    <w:uiPriority w:val="99"/>
    <w:rsid w:val="00DD27E5"/>
    <w:rPr>
      <w:rFonts w:ascii="Times New Roman" w:hAnsi="Times New Roman"/>
      <w:sz w:val="28"/>
    </w:rPr>
  </w:style>
  <w:style w:type="paragraph" w:styleId="af1">
    <w:name w:val="footer"/>
    <w:basedOn w:val="a0"/>
    <w:link w:val="af2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1"/>
    <w:link w:val="af1"/>
    <w:uiPriority w:val="99"/>
    <w:rsid w:val="00DD27E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1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1689</Words>
  <Characters>12287</Characters>
  <Application>Microsoft Office Word</Application>
  <DocSecurity>0</DocSecurity>
  <Lines>296</Lines>
  <Paragraphs>170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Охрімчук</cp:lastModifiedBy>
  <cp:revision>46</cp:revision>
  <cp:lastPrinted>2026-02-02T12:25:00Z</cp:lastPrinted>
  <dcterms:created xsi:type="dcterms:W3CDTF">2024-04-11T08:32:00Z</dcterms:created>
  <dcterms:modified xsi:type="dcterms:W3CDTF">2026-02-06T06:22:00Z</dcterms:modified>
</cp:coreProperties>
</file>