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A6" w:rsidRPr="00F25B1F" w:rsidRDefault="004365A6" w:rsidP="004365A6">
      <w:pPr>
        <w:pStyle w:val="a5"/>
        <w:ind w:hanging="2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5B1F">
        <w:rPr>
          <w:rFonts w:ascii="Times New Roman" w:hAnsi="Times New Roman"/>
          <w:b/>
          <w:sz w:val="28"/>
          <w:szCs w:val="28"/>
          <w:lang w:val="uk-UA"/>
        </w:rPr>
        <w:t>Експертний висновок</w:t>
      </w:r>
    </w:p>
    <w:p w:rsidR="004365A6" w:rsidRPr="004D0938" w:rsidRDefault="004365A6" w:rsidP="004365A6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 </w:t>
      </w:r>
      <w:proofErr w:type="spellStart"/>
      <w:r>
        <w:rPr>
          <w:b/>
          <w:sz w:val="28"/>
          <w:szCs w:val="28"/>
        </w:rPr>
        <w:t>проє</w:t>
      </w:r>
      <w:r w:rsidRPr="00802679">
        <w:rPr>
          <w:b/>
          <w:sz w:val="28"/>
          <w:szCs w:val="28"/>
        </w:rPr>
        <w:t>кту</w:t>
      </w:r>
      <w:proofErr w:type="spellEnd"/>
      <w:r w:rsidRPr="00802679">
        <w:rPr>
          <w:b/>
          <w:sz w:val="28"/>
          <w:szCs w:val="28"/>
        </w:rPr>
        <w:t xml:space="preserve"> Закону України </w:t>
      </w:r>
      <w:r w:rsidRPr="004D0938">
        <w:rPr>
          <w:b/>
          <w:sz w:val="28"/>
          <w:szCs w:val="28"/>
        </w:rPr>
        <w:t>«Про внесення змін до Податкового кодексу України (щодо оподаткування товарів, що переміщуються (пересилаються) у міжнародних поштових та експрес-відправленнях)</w:t>
      </w:r>
      <w:r>
        <w:rPr>
          <w:b/>
          <w:sz w:val="28"/>
          <w:szCs w:val="28"/>
        </w:rPr>
        <w:t>»</w:t>
      </w:r>
    </w:p>
    <w:p w:rsidR="004365A6" w:rsidRDefault="004365A6" w:rsidP="004365A6">
      <w:pPr>
        <w:ind w:left="-284" w:firstLine="284"/>
        <w:jc w:val="center"/>
        <w:rPr>
          <w:b/>
          <w:sz w:val="28"/>
          <w:szCs w:val="28"/>
        </w:rPr>
      </w:pPr>
    </w:p>
    <w:p w:rsidR="004365A6" w:rsidRPr="00F25B1F" w:rsidRDefault="004365A6" w:rsidP="004365A6">
      <w:pPr>
        <w:tabs>
          <w:tab w:val="left" w:pos="993"/>
          <w:tab w:val="left" w:pos="1276"/>
        </w:tabs>
        <w:ind w:left="30" w:firstLine="537"/>
        <w:jc w:val="both"/>
        <w:rPr>
          <w:b/>
          <w:sz w:val="28"/>
          <w:szCs w:val="28"/>
        </w:rPr>
      </w:pPr>
      <w:r w:rsidRPr="00F25B1F">
        <w:rPr>
          <w:b/>
          <w:sz w:val="28"/>
          <w:szCs w:val="28"/>
        </w:rPr>
        <w:t xml:space="preserve">1. Назва </w:t>
      </w:r>
      <w:proofErr w:type="spellStart"/>
      <w:r w:rsidRPr="00F25B1F">
        <w:rPr>
          <w:b/>
          <w:sz w:val="28"/>
          <w:szCs w:val="28"/>
        </w:rPr>
        <w:t>проєкту</w:t>
      </w:r>
      <w:proofErr w:type="spellEnd"/>
      <w:r w:rsidRPr="00F25B1F">
        <w:rPr>
          <w:b/>
          <w:sz w:val="28"/>
          <w:szCs w:val="28"/>
        </w:rPr>
        <w:t xml:space="preserve"> законодавчого </w:t>
      </w:r>
      <w:proofErr w:type="spellStart"/>
      <w:r w:rsidRPr="00F25B1F">
        <w:rPr>
          <w:b/>
          <w:sz w:val="28"/>
          <w:szCs w:val="28"/>
        </w:rPr>
        <w:t>акта</w:t>
      </w:r>
      <w:proofErr w:type="spellEnd"/>
    </w:p>
    <w:p w:rsidR="004365A6" w:rsidRDefault="004365A6" w:rsidP="00985C9C">
      <w:pPr>
        <w:ind w:firstLine="537"/>
        <w:contextualSpacing/>
        <w:jc w:val="both"/>
        <w:rPr>
          <w:sz w:val="28"/>
          <w:szCs w:val="28"/>
        </w:rPr>
      </w:pPr>
      <w:proofErr w:type="spellStart"/>
      <w:r w:rsidRPr="00F25B1F">
        <w:rPr>
          <w:sz w:val="28"/>
          <w:szCs w:val="28"/>
        </w:rPr>
        <w:t>Проєкт</w:t>
      </w:r>
      <w:proofErr w:type="spellEnd"/>
      <w:r w:rsidRPr="00F25B1F">
        <w:rPr>
          <w:sz w:val="28"/>
          <w:szCs w:val="28"/>
        </w:rPr>
        <w:t xml:space="preserve"> Закону України </w:t>
      </w:r>
      <w:r w:rsidR="00985C9C" w:rsidRPr="00985C9C">
        <w:rPr>
          <w:sz w:val="28"/>
          <w:szCs w:val="28"/>
        </w:rPr>
        <w:t>«Про внесення змін до Податкового кодексу України (щодо оподаткування товарів, що переміщуються (пересилаються) у міжнародних поштових та експрес-відправленнях)»</w:t>
      </w:r>
      <w:r w:rsidRPr="00F25B1F">
        <w:rPr>
          <w:sz w:val="28"/>
          <w:szCs w:val="28"/>
        </w:rPr>
        <w:t xml:space="preserve">, реєстр. № </w:t>
      </w:r>
      <w:r>
        <w:rPr>
          <w:sz w:val="28"/>
          <w:szCs w:val="28"/>
        </w:rPr>
        <w:t>4</w:t>
      </w:r>
      <w:r w:rsidR="00985C9C" w:rsidRPr="00985C9C">
        <w:rPr>
          <w:sz w:val="28"/>
          <w:szCs w:val="28"/>
        </w:rPr>
        <w:t>2</w:t>
      </w:r>
      <w:r w:rsidR="00985C9C">
        <w:rPr>
          <w:sz w:val="28"/>
          <w:szCs w:val="28"/>
        </w:rPr>
        <w:t>7</w:t>
      </w:r>
      <w:r w:rsidR="00985C9C" w:rsidRPr="00985C9C">
        <w:rPr>
          <w:sz w:val="28"/>
          <w:szCs w:val="28"/>
        </w:rPr>
        <w:t>8</w:t>
      </w:r>
      <w:r w:rsidRPr="00F25B1F">
        <w:rPr>
          <w:sz w:val="28"/>
          <w:szCs w:val="28"/>
        </w:rPr>
        <w:t xml:space="preserve"> від </w:t>
      </w:r>
      <w:r w:rsidR="00985C9C" w:rsidRPr="00985C9C">
        <w:rPr>
          <w:sz w:val="28"/>
          <w:szCs w:val="28"/>
        </w:rPr>
        <w:t>28</w:t>
      </w:r>
      <w:r w:rsidR="00985C9C">
        <w:rPr>
          <w:sz w:val="28"/>
          <w:szCs w:val="28"/>
        </w:rPr>
        <w:t>.</w:t>
      </w:r>
      <w:r w:rsidR="00985C9C" w:rsidRPr="00985C9C">
        <w:rPr>
          <w:sz w:val="28"/>
          <w:szCs w:val="28"/>
        </w:rPr>
        <w:t>10</w:t>
      </w:r>
      <w:r w:rsidRPr="00F25B1F">
        <w:rPr>
          <w:sz w:val="28"/>
          <w:szCs w:val="28"/>
        </w:rPr>
        <w:t xml:space="preserve">.2020 </w:t>
      </w:r>
      <w:r>
        <w:rPr>
          <w:sz w:val="28"/>
          <w:szCs w:val="28"/>
        </w:rPr>
        <w:t xml:space="preserve">(далі – </w:t>
      </w:r>
      <w:proofErr w:type="spellStart"/>
      <w:r>
        <w:rPr>
          <w:sz w:val="28"/>
          <w:szCs w:val="28"/>
        </w:rPr>
        <w:t>з</w:t>
      </w:r>
      <w:r w:rsidRPr="00F25B1F">
        <w:rPr>
          <w:sz w:val="28"/>
          <w:szCs w:val="28"/>
        </w:rPr>
        <w:t>аконопроєкт</w:t>
      </w:r>
      <w:proofErr w:type="spellEnd"/>
      <w:r w:rsidRPr="00F25B1F">
        <w:rPr>
          <w:sz w:val="28"/>
          <w:szCs w:val="28"/>
        </w:rPr>
        <w:t>)</w:t>
      </w:r>
      <w:r>
        <w:rPr>
          <w:sz w:val="28"/>
          <w:szCs w:val="28"/>
        </w:rPr>
        <w:t xml:space="preserve">, суб’єкт законодавчої ініціативи – народні депутати </w:t>
      </w:r>
      <w:r w:rsidR="00985C9C">
        <w:rPr>
          <w:sz w:val="28"/>
          <w:szCs w:val="28"/>
        </w:rPr>
        <w:t>Сова О.Г</w:t>
      </w:r>
      <w:r>
        <w:rPr>
          <w:sz w:val="28"/>
          <w:szCs w:val="28"/>
        </w:rPr>
        <w:t>.</w:t>
      </w:r>
      <w:r w:rsidRPr="001D5DB2">
        <w:rPr>
          <w:sz w:val="28"/>
          <w:szCs w:val="28"/>
        </w:rPr>
        <w:t xml:space="preserve">, </w:t>
      </w:r>
      <w:r w:rsidR="00985C9C">
        <w:rPr>
          <w:sz w:val="28"/>
          <w:szCs w:val="28"/>
        </w:rPr>
        <w:t>Ковальчук О.В</w:t>
      </w:r>
      <w:r>
        <w:rPr>
          <w:sz w:val="28"/>
          <w:szCs w:val="28"/>
        </w:rPr>
        <w:t xml:space="preserve">., </w:t>
      </w:r>
      <w:proofErr w:type="spellStart"/>
      <w:r w:rsidR="00985C9C">
        <w:rPr>
          <w:sz w:val="28"/>
          <w:szCs w:val="28"/>
        </w:rPr>
        <w:t>Гетьманцев</w:t>
      </w:r>
      <w:proofErr w:type="spellEnd"/>
      <w:r w:rsidR="00985C9C">
        <w:rPr>
          <w:sz w:val="28"/>
          <w:szCs w:val="28"/>
        </w:rPr>
        <w:t xml:space="preserve"> Д.О. </w:t>
      </w:r>
      <w:r>
        <w:rPr>
          <w:sz w:val="28"/>
          <w:szCs w:val="28"/>
        </w:rPr>
        <w:t>та інші</w:t>
      </w:r>
      <w:r w:rsidRPr="00F25B1F">
        <w:rPr>
          <w:sz w:val="28"/>
          <w:szCs w:val="28"/>
        </w:rPr>
        <w:t>.</w:t>
      </w:r>
    </w:p>
    <w:p w:rsidR="004365A6" w:rsidRPr="00F25B1F" w:rsidRDefault="004365A6" w:rsidP="004365A6">
      <w:pPr>
        <w:widowControl w:val="0"/>
        <w:ind w:firstLine="567"/>
        <w:jc w:val="both"/>
        <w:rPr>
          <w:sz w:val="28"/>
          <w:szCs w:val="28"/>
        </w:rPr>
      </w:pPr>
    </w:p>
    <w:p w:rsidR="004365A6" w:rsidRPr="00F25B1F" w:rsidRDefault="004365A6" w:rsidP="004365A6">
      <w:pPr>
        <w:tabs>
          <w:tab w:val="left" w:pos="993"/>
          <w:tab w:val="left" w:pos="1276"/>
        </w:tabs>
        <w:ind w:firstLine="537"/>
        <w:jc w:val="both"/>
        <w:rPr>
          <w:b/>
          <w:sz w:val="28"/>
          <w:szCs w:val="28"/>
        </w:rPr>
      </w:pPr>
      <w:r w:rsidRPr="00F25B1F">
        <w:rPr>
          <w:b/>
          <w:sz w:val="28"/>
          <w:szCs w:val="28"/>
        </w:rPr>
        <w:t xml:space="preserve">2. Завдання </w:t>
      </w:r>
      <w:proofErr w:type="spellStart"/>
      <w:r w:rsidRPr="00F25B1F">
        <w:rPr>
          <w:b/>
          <w:sz w:val="28"/>
          <w:szCs w:val="28"/>
        </w:rPr>
        <w:t>проєкту</w:t>
      </w:r>
      <w:proofErr w:type="spellEnd"/>
      <w:r w:rsidRPr="00F25B1F">
        <w:rPr>
          <w:b/>
          <w:sz w:val="28"/>
          <w:szCs w:val="28"/>
        </w:rPr>
        <w:t xml:space="preserve"> законодавчого </w:t>
      </w:r>
      <w:proofErr w:type="spellStart"/>
      <w:r w:rsidRPr="00F25B1F">
        <w:rPr>
          <w:b/>
          <w:sz w:val="28"/>
          <w:szCs w:val="28"/>
        </w:rPr>
        <w:t>акта</w:t>
      </w:r>
      <w:proofErr w:type="spellEnd"/>
    </w:p>
    <w:p w:rsidR="00985C9C" w:rsidRPr="00501C43" w:rsidRDefault="00985C9C" w:rsidP="00985C9C">
      <w:pPr>
        <w:pStyle w:val="a6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01C43">
        <w:rPr>
          <w:rFonts w:ascii="Times New Roman" w:hAnsi="Times New Roman"/>
          <w:sz w:val="28"/>
          <w:szCs w:val="28"/>
          <w:lang w:val="uk-UA"/>
        </w:rPr>
        <w:t>Метою законопроекту є вдосконалення, здешевлення та підвищення ефективності здійснення адміністрування податку на додану вартість щодо операцій із ввезення товарів на митну територію України у міжнародних поштових та експрес-відправленнях, а також спрощення сплати податку одержувачами через покладання функцій із його сплати на операторів поштового зв’язку та експрес-перевізників у разі декларування таких товарів із застосуванням відповідних електронних реєстрів міжнародних поштових та експрес-відправлень.</w:t>
      </w:r>
    </w:p>
    <w:p w:rsidR="004365A6" w:rsidRDefault="004365A6" w:rsidP="004365A6">
      <w:pPr>
        <w:tabs>
          <w:tab w:val="left" w:pos="993"/>
          <w:tab w:val="left" w:pos="1276"/>
        </w:tabs>
        <w:ind w:firstLine="537"/>
        <w:jc w:val="both"/>
        <w:rPr>
          <w:sz w:val="28"/>
          <w:szCs w:val="28"/>
        </w:rPr>
      </w:pPr>
      <w:r>
        <w:rPr>
          <w:sz w:val="28"/>
          <w:szCs w:val="28"/>
        </w:rPr>
        <w:t>Цей законопроект</w:t>
      </w:r>
      <w:r w:rsidRPr="001D5DB2">
        <w:rPr>
          <w:sz w:val="28"/>
          <w:szCs w:val="28"/>
        </w:rPr>
        <w:t xml:space="preserve"> </w:t>
      </w:r>
      <w:r>
        <w:rPr>
          <w:sz w:val="28"/>
          <w:szCs w:val="28"/>
        </w:rPr>
        <w:t>подано разом</w:t>
      </w:r>
      <w:r w:rsidRPr="001D5DB2">
        <w:rPr>
          <w:sz w:val="28"/>
          <w:szCs w:val="28"/>
        </w:rPr>
        <w:t xml:space="preserve"> із законопроектом</w:t>
      </w:r>
      <w:r w:rsidR="00240222">
        <w:rPr>
          <w:sz w:val="28"/>
          <w:szCs w:val="28"/>
        </w:rPr>
        <w:t xml:space="preserve"> № 4279</w:t>
      </w:r>
      <w:r w:rsidRPr="001D5DB2">
        <w:rPr>
          <w:sz w:val="28"/>
          <w:szCs w:val="28"/>
        </w:rPr>
        <w:t xml:space="preserve"> </w:t>
      </w:r>
      <w:r w:rsidR="00240222" w:rsidRPr="00EC7585">
        <w:rPr>
          <w:sz w:val="28"/>
          <w:szCs w:val="28"/>
        </w:rPr>
        <w:t xml:space="preserve">«Про внесення змін до Митного кодексу України (щодо оподаткування митними </w:t>
      </w:r>
      <w:proofErr w:type="spellStart"/>
      <w:r w:rsidR="00240222" w:rsidRPr="00EC7585">
        <w:rPr>
          <w:sz w:val="28"/>
          <w:szCs w:val="28"/>
        </w:rPr>
        <w:t>платежами</w:t>
      </w:r>
      <w:proofErr w:type="spellEnd"/>
      <w:r w:rsidR="00240222" w:rsidRPr="00EC7585">
        <w:rPr>
          <w:sz w:val="28"/>
          <w:szCs w:val="28"/>
        </w:rPr>
        <w:t xml:space="preserve"> товарів, що переміщуються (пересилаються) у міжнародних поштових відправленнях, міжнародних експрес-відправленнях та порядку їх декларування)</w:t>
      </w:r>
      <w:r w:rsidR="00240222">
        <w:rPr>
          <w:sz w:val="28"/>
          <w:szCs w:val="28"/>
        </w:rPr>
        <w:t>».</w:t>
      </w:r>
    </w:p>
    <w:p w:rsidR="004365A6" w:rsidRPr="00F25B1F" w:rsidRDefault="004365A6" w:rsidP="004365A6">
      <w:pPr>
        <w:tabs>
          <w:tab w:val="left" w:pos="993"/>
          <w:tab w:val="left" w:pos="1276"/>
        </w:tabs>
        <w:ind w:firstLine="537"/>
        <w:jc w:val="both"/>
        <w:rPr>
          <w:b/>
          <w:sz w:val="28"/>
          <w:szCs w:val="28"/>
        </w:rPr>
      </w:pPr>
      <w:r w:rsidRPr="00F25B1F">
        <w:rPr>
          <w:b/>
          <w:sz w:val="28"/>
          <w:szCs w:val="28"/>
        </w:rPr>
        <w:t>3. Оцінка впливу на показники бюджетів</w:t>
      </w:r>
    </w:p>
    <w:p w:rsidR="004365A6" w:rsidRDefault="004365A6" w:rsidP="004365A6">
      <w:pPr>
        <w:tabs>
          <w:tab w:val="left" w:pos="567"/>
        </w:tabs>
        <w:ind w:firstLine="567"/>
        <w:jc w:val="both"/>
        <w:rPr>
          <w:sz w:val="28"/>
          <w:szCs w:val="28"/>
          <w:lang w:eastAsia="uk-UA"/>
        </w:rPr>
      </w:pPr>
      <w:r w:rsidRPr="00F25B1F">
        <w:rPr>
          <w:sz w:val="28"/>
          <w:szCs w:val="28"/>
          <w:lang w:eastAsia="uk-UA"/>
        </w:rPr>
        <w:t xml:space="preserve">Реалізація </w:t>
      </w:r>
      <w:proofErr w:type="spellStart"/>
      <w:r w:rsidRPr="00F25B1F">
        <w:rPr>
          <w:sz w:val="28"/>
          <w:szCs w:val="28"/>
          <w:lang w:eastAsia="uk-UA"/>
        </w:rPr>
        <w:t>законопроєкту</w:t>
      </w:r>
      <w:proofErr w:type="spellEnd"/>
      <w:r w:rsidRPr="00F25B1F">
        <w:rPr>
          <w:sz w:val="28"/>
          <w:szCs w:val="28"/>
          <w:lang w:eastAsia="uk-UA"/>
        </w:rPr>
        <w:t xml:space="preserve"> може </w:t>
      </w:r>
      <w:r>
        <w:rPr>
          <w:sz w:val="28"/>
          <w:szCs w:val="28"/>
          <w:lang w:eastAsia="uk-UA"/>
        </w:rPr>
        <w:t>негативно вплинути на показники</w:t>
      </w:r>
      <w:r w:rsidRPr="00F25B1F">
        <w:rPr>
          <w:sz w:val="28"/>
          <w:szCs w:val="28"/>
          <w:lang w:eastAsia="uk-UA"/>
        </w:rPr>
        <w:t xml:space="preserve"> доходів бюджету.</w:t>
      </w:r>
    </w:p>
    <w:p w:rsidR="004365A6" w:rsidRPr="00F25B1F" w:rsidRDefault="004365A6" w:rsidP="004365A6">
      <w:pPr>
        <w:ind w:firstLine="567"/>
        <w:jc w:val="both"/>
        <w:rPr>
          <w:sz w:val="28"/>
          <w:szCs w:val="28"/>
          <w:lang w:eastAsia="uk-UA"/>
        </w:rPr>
      </w:pPr>
    </w:p>
    <w:p w:rsidR="004365A6" w:rsidRPr="00F25B1F" w:rsidRDefault="004365A6" w:rsidP="004365A6">
      <w:pPr>
        <w:tabs>
          <w:tab w:val="left" w:pos="993"/>
          <w:tab w:val="left" w:pos="1276"/>
        </w:tabs>
        <w:ind w:firstLine="537"/>
        <w:jc w:val="both"/>
        <w:rPr>
          <w:b/>
          <w:sz w:val="28"/>
          <w:szCs w:val="28"/>
        </w:rPr>
      </w:pPr>
      <w:r w:rsidRPr="00F25B1F">
        <w:rPr>
          <w:b/>
          <w:sz w:val="28"/>
          <w:szCs w:val="28"/>
        </w:rPr>
        <w:t>4. Вартісна величина впливу на показники бюджетів</w:t>
      </w:r>
    </w:p>
    <w:p w:rsidR="007C02F5" w:rsidRPr="004D0938" w:rsidRDefault="007C02F5" w:rsidP="007C02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Полегшення та прозорість здійснення обміну міжнародними поштовими та експрес-відправленнями сприятиме збільшенню питомої ваги у неторговому обігу, що призведе до збільшення митних платежів. Крім того, спрощення та здешевлення адміністрування, в тому числі завдяки уніфікації бази оподаткування митом та ПДВ щодо таких товарів та покладення обов’язку із сплати податку на операторів поштового зв’язку та експрес-перевізників (замість тисяч окремих фізичних осіб), також сприятимуть збільшенню доходної частини держбюджету.</w:t>
      </w:r>
    </w:p>
    <w:p w:rsidR="004365A6" w:rsidRPr="00F25B1F" w:rsidRDefault="004365A6" w:rsidP="004365A6">
      <w:pPr>
        <w:pStyle w:val="Style3"/>
        <w:widowControl/>
        <w:spacing w:line="240" w:lineRule="auto"/>
        <w:ind w:firstLine="567"/>
        <w:rPr>
          <w:sz w:val="28"/>
          <w:szCs w:val="28"/>
          <w:lang w:val="uk-UA" w:eastAsia="uk-UA"/>
        </w:rPr>
      </w:pPr>
    </w:p>
    <w:p w:rsidR="004365A6" w:rsidRPr="00F25B1F" w:rsidRDefault="004365A6" w:rsidP="004365A6">
      <w:pPr>
        <w:tabs>
          <w:tab w:val="left" w:pos="993"/>
          <w:tab w:val="left" w:pos="1276"/>
        </w:tabs>
        <w:ind w:firstLine="537"/>
        <w:jc w:val="both"/>
        <w:rPr>
          <w:b/>
          <w:sz w:val="28"/>
          <w:szCs w:val="28"/>
        </w:rPr>
      </w:pPr>
      <w:r w:rsidRPr="00F25B1F">
        <w:rPr>
          <w:b/>
          <w:sz w:val="28"/>
          <w:szCs w:val="28"/>
        </w:rPr>
        <w:t xml:space="preserve">5. Пропозиції щодо можливостей фінансового забезпечення у відповідному бюджетному періоді </w:t>
      </w:r>
      <w:proofErr w:type="spellStart"/>
      <w:r w:rsidRPr="00F25B1F">
        <w:rPr>
          <w:b/>
          <w:sz w:val="28"/>
          <w:szCs w:val="28"/>
        </w:rPr>
        <w:t>законопроєкту</w:t>
      </w:r>
      <w:proofErr w:type="spellEnd"/>
      <w:r w:rsidRPr="00F25B1F">
        <w:rPr>
          <w:b/>
          <w:sz w:val="28"/>
          <w:szCs w:val="28"/>
        </w:rPr>
        <w:t xml:space="preserve"> у разі його прийняття</w:t>
      </w:r>
    </w:p>
    <w:p w:rsidR="004365A6" w:rsidRPr="00F25B1F" w:rsidRDefault="004365A6" w:rsidP="004365A6">
      <w:pPr>
        <w:tabs>
          <w:tab w:val="left" w:pos="993"/>
          <w:tab w:val="left" w:pos="1276"/>
        </w:tabs>
        <w:ind w:firstLine="5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Згідно з пояснювальною запискою </w:t>
      </w:r>
      <w:r w:rsidRPr="00F25B1F">
        <w:rPr>
          <w:sz w:val="28"/>
          <w:szCs w:val="28"/>
        </w:rPr>
        <w:t>запропоновані законодавчі пропозиції не п</w:t>
      </w:r>
      <w:r>
        <w:rPr>
          <w:sz w:val="28"/>
          <w:szCs w:val="28"/>
        </w:rPr>
        <w:t>отребують додаткових видатків з</w:t>
      </w:r>
      <w:r w:rsidRPr="00F25B1F">
        <w:rPr>
          <w:sz w:val="28"/>
        </w:rPr>
        <w:t xml:space="preserve"> державного та місцевих бюджетів</w:t>
      </w:r>
      <w:r w:rsidRPr="00F25B1F">
        <w:rPr>
          <w:sz w:val="28"/>
          <w:szCs w:val="28"/>
        </w:rPr>
        <w:t>.</w:t>
      </w:r>
    </w:p>
    <w:p w:rsidR="004365A6" w:rsidRDefault="004365A6" w:rsidP="004365A6">
      <w:pPr>
        <w:tabs>
          <w:tab w:val="left" w:pos="993"/>
          <w:tab w:val="left" w:pos="1276"/>
        </w:tabs>
        <w:ind w:firstLine="537"/>
        <w:jc w:val="both"/>
        <w:rPr>
          <w:b/>
          <w:sz w:val="28"/>
          <w:szCs w:val="28"/>
        </w:rPr>
      </w:pPr>
    </w:p>
    <w:p w:rsidR="004365A6" w:rsidRPr="00F25B1F" w:rsidRDefault="004365A6" w:rsidP="004365A6">
      <w:pPr>
        <w:tabs>
          <w:tab w:val="left" w:pos="993"/>
          <w:tab w:val="left" w:pos="1276"/>
        </w:tabs>
        <w:ind w:firstLine="537"/>
        <w:jc w:val="both"/>
        <w:rPr>
          <w:b/>
          <w:sz w:val="28"/>
          <w:szCs w:val="28"/>
        </w:rPr>
      </w:pPr>
      <w:r w:rsidRPr="00F25B1F">
        <w:rPr>
          <w:b/>
          <w:sz w:val="28"/>
          <w:szCs w:val="28"/>
        </w:rPr>
        <w:lastRenderedPageBreak/>
        <w:t>6. Пропозиції щодо відповідності законам, що регулюють бюджетні відносини</w:t>
      </w:r>
    </w:p>
    <w:p w:rsidR="004365A6" w:rsidRDefault="004365A6" w:rsidP="004365A6">
      <w:pPr>
        <w:pStyle w:val="Style3"/>
        <w:widowControl/>
        <w:spacing w:line="240" w:lineRule="auto"/>
        <w:ind w:firstLine="567"/>
        <w:rPr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 xml:space="preserve">Норми </w:t>
      </w:r>
      <w:proofErr w:type="spellStart"/>
      <w:r w:rsidRPr="00F25B1F">
        <w:rPr>
          <w:rStyle w:val="FontStyle12"/>
          <w:sz w:val="28"/>
          <w:szCs w:val="28"/>
          <w:lang w:val="uk-UA" w:eastAsia="uk-UA"/>
        </w:rPr>
        <w:t>законопроєкту</w:t>
      </w:r>
      <w:proofErr w:type="spellEnd"/>
      <w:r w:rsidRPr="00F25B1F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>не суперечать законам</w:t>
      </w:r>
      <w:r w:rsidRPr="00F25B1F">
        <w:rPr>
          <w:sz w:val="28"/>
          <w:szCs w:val="28"/>
          <w:lang w:val="uk-UA" w:eastAsia="ru-RU"/>
        </w:rPr>
        <w:t>, що регулюють бюджетні відносини</w:t>
      </w:r>
      <w:r w:rsidRPr="00F25B1F">
        <w:rPr>
          <w:sz w:val="28"/>
          <w:szCs w:val="28"/>
          <w:lang w:val="uk-UA" w:eastAsia="uk-UA"/>
        </w:rPr>
        <w:t>.</w:t>
      </w:r>
    </w:p>
    <w:p w:rsidR="004365A6" w:rsidRPr="00F25B1F" w:rsidRDefault="004365A6" w:rsidP="004365A6">
      <w:pPr>
        <w:pStyle w:val="Style3"/>
        <w:widowControl/>
        <w:spacing w:line="240" w:lineRule="auto"/>
        <w:ind w:firstLine="567"/>
        <w:rPr>
          <w:sz w:val="28"/>
          <w:szCs w:val="28"/>
          <w:lang w:val="uk-UA" w:eastAsia="uk-UA"/>
        </w:rPr>
      </w:pPr>
    </w:p>
    <w:p w:rsidR="004365A6" w:rsidRPr="00F25B1F" w:rsidRDefault="004365A6" w:rsidP="004365A6">
      <w:pPr>
        <w:tabs>
          <w:tab w:val="left" w:pos="993"/>
          <w:tab w:val="left" w:pos="1276"/>
          <w:tab w:val="left" w:pos="8025"/>
        </w:tabs>
        <w:ind w:firstLine="537"/>
        <w:jc w:val="both"/>
        <w:rPr>
          <w:sz w:val="28"/>
          <w:szCs w:val="28"/>
        </w:rPr>
      </w:pPr>
      <w:r w:rsidRPr="00F25B1F">
        <w:rPr>
          <w:b/>
          <w:sz w:val="28"/>
          <w:szCs w:val="28"/>
        </w:rPr>
        <w:t xml:space="preserve">7. Пропозиції щодо розгляду </w:t>
      </w:r>
      <w:proofErr w:type="spellStart"/>
      <w:r w:rsidRPr="00F25B1F">
        <w:rPr>
          <w:b/>
          <w:sz w:val="28"/>
          <w:szCs w:val="28"/>
        </w:rPr>
        <w:t>законопроєкту</w:t>
      </w:r>
      <w:proofErr w:type="spellEnd"/>
    </w:p>
    <w:p w:rsidR="0013777B" w:rsidRDefault="007A6F56" w:rsidP="0013777B">
      <w:pPr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Законопроєктом</w:t>
      </w:r>
      <w:proofErr w:type="spellEnd"/>
      <w:r>
        <w:rPr>
          <w:sz w:val="28"/>
          <w:szCs w:val="28"/>
        </w:rPr>
        <w:t xml:space="preserve"> пропонується </w:t>
      </w:r>
      <w:proofErr w:type="spellStart"/>
      <w:r>
        <w:rPr>
          <w:bCs/>
          <w:sz w:val="28"/>
          <w:szCs w:val="28"/>
        </w:rPr>
        <w:t>в</w:t>
      </w:r>
      <w:r w:rsidRPr="00721959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ести</w:t>
      </w:r>
      <w:proofErr w:type="spellEnd"/>
      <w:r>
        <w:rPr>
          <w:bCs/>
          <w:sz w:val="28"/>
          <w:szCs w:val="28"/>
        </w:rPr>
        <w:t xml:space="preserve"> зміни до Податкового к</w:t>
      </w:r>
      <w:r w:rsidRPr="00721959">
        <w:rPr>
          <w:bCs/>
          <w:sz w:val="28"/>
          <w:szCs w:val="28"/>
        </w:rPr>
        <w:t>одексу України щодо</w:t>
      </w:r>
      <w:r>
        <w:rPr>
          <w:sz w:val="28"/>
          <w:szCs w:val="28"/>
        </w:rPr>
        <w:t xml:space="preserve"> </w:t>
      </w:r>
      <w:r w:rsidR="0013777B" w:rsidRPr="00CF0A60">
        <w:rPr>
          <w:sz w:val="28"/>
          <w:szCs w:val="28"/>
        </w:rPr>
        <w:t xml:space="preserve">спрощення адміністрування та удосконалення </w:t>
      </w:r>
      <w:r w:rsidR="0013777B">
        <w:rPr>
          <w:sz w:val="28"/>
          <w:szCs w:val="28"/>
        </w:rPr>
        <w:t xml:space="preserve">системи оподаткування, що наддасть змогу запровадження більш зручної системи сплати податків при ввезені товарів у міжнародних поштових та експрес-відправленнях. Впровадження простих і прозорих механізмів декларування та сплати податків сприятиме створенню </w:t>
      </w:r>
      <w:r w:rsidR="0013777B" w:rsidRPr="009D6B32">
        <w:rPr>
          <w:sz w:val="28"/>
          <w:szCs w:val="28"/>
        </w:rPr>
        <w:t>комфортн</w:t>
      </w:r>
      <w:r w:rsidR="0013777B">
        <w:rPr>
          <w:sz w:val="28"/>
          <w:szCs w:val="28"/>
        </w:rPr>
        <w:t xml:space="preserve">их </w:t>
      </w:r>
      <w:r w:rsidR="0013777B" w:rsidRPr="009D6B32">
        <w:rPr>
          <w:sz w:val="28"/>
          <w:szCs w:val="28"/>
        </w:rPr>
        <w:t>умов</w:t>
      </w:r>
      <w:r w:rsidR="0013777B">
        <w:rPr>
          <w:sz w:val="28"/>
          <w:szCs w:val="28"/>
        </w:rPr>
        <w:t xml:space="preserve"> у цій сфері</w:t>
      </w:r>
      <w:r w:rsidR="0013777B" w:rsidRPr="009D6B32">
        <w:rPr>
          <w:sz w:val="28"/>
          <w:szCs w:val="28"/>
        </w:rPr>
        <w:t xml:space="preserve"> </w:t>
      </w:r>
      <w:r w:rsidR="0013777B">
        <w:rPr>
          <w:sz w:val="28"/>
          <w:szCs w:val="28"/>
        </w:rPr>
        <w:t xml:space="preserve">як </w:t>
      </w:r>
      <w:r w:rsidR="0013777B" w:rsidRPr="009D6B32">
        <w:rPr>
          <w:sz w:val="28"/>
          <w:szCs w:val="28"/>
        </w:rPr>
        <w:t>для</w:t>
      </w:r>
      <w:r w:rsidR="0013777B">
        <w:rPr>
          <w:sz w:val="28"/>
          <w:szCs w:val="28"/>
        </w:rPr>
        <w:t xml:space="preserve"> перевізників, так і для відправників та одержувачів, та матиме наслідком безумовне збільшення обсягу імпорту таких товарів, що позитивно вплине на доходи бюджету. </w:t>
      </w:r>
    </w:p>
    <w:p w:rsidR="00361943" w:rsidRDefault="00361943" w:rsidP="00361943">
      <w:pPr>
        <w:ind w:right="107" w:firstLine="567"/>
        <w:jc w:val="both"/>
        <w:rPr>
          <w:sz w:val="28"/>
          <w:szCs w:val="28"/>
        </w:rPr>
      </w:pPr>
      <w:r>
        <w:rPr>
          <w:sz w:val="28"/>
          <w:szCs w:val="28"/>
        </w:rPr>
        <w:t>У новій редакції підпункту 191.1.1 пункту 191.1 статті 191 слова «</w:t>
      </w:r>
      <w:r w:rsidRPr="00105B36">
        <w:rPr>
          <w:sz w:val="28"/>
          <w:szCs w:val="28"/>
        </w:rPr>
        <w:t>з урахуванням мита, що підляга</w:t>
      </w:r>
      <w:r>
        <w:rPr>
          <w:sz w:val="28"/>
          <w:szCs w:val="28"/>
        </w:rPr>
        <w:t>є</w:t>
      </w:r>
      <w:r w:rsidRPr="00105B36">
        <w:rPr>
          <w:sz w:val="28"/>
          <w:szCs w:val="28"/>
        </w:rPr>
        <w:t xml:space="preserve"> сплаті</w:t>
      </w:r>
      <w:r>
        <w:rPr>
          <w:sz w:val="28"/>
          <w:szCs w:val="28"/>
        </w:rPr>
        <w:t>» замінити словами «</w:t>
      </w:r>
      <w:r w:rsidRPr="00105B36">
        <w:rPr>
          <w:sz w:val="28"/>
          <w:szCs w:val="28"/>
        </w:rPr>
        <w:t>з урахуванням мита та акцизног</w:t>
      </w:r>
      <w:r>
        <w:rPr>
          <w:sz w:val="28"/>
          <w:szCs w:val="28"/>
        </w:rPr>
        <w:t xml:space="preserve">о податку, що підлягають сплаті», так як нова редакція порушує порядок нарахування податку на додатну вартість щодо підакцизних товарів, які </w:t>
      </w:r>
      <w:r w:rsidRPr="00105B36">
        <w:rPr>
          <w:sz w:val="28"/>
          <w:szCs w:val="28"/>
        </w:rPr>
        <w:t>вв</w:t>
      </w:r>
      <w:r>
        <w:rPr>
          <w:sz w:val="28"/>
          <w:szCs w:val="28"/>
        </w:rPr>
        <w:t>о</w:t>
      </w:r>
      <w:r w:rsidRPr="00105B36">
        <w:rPr>
          <w:sz w:val="28"/>
          <w:szCs w:val="28"/>
        </w:rPr>
        <w:t>зя</w:t>
      </w:r>
      <w:r>
        <w:rPr>
          <w:sz w:val="28"/>
          <w:szCs w:val="28"/>
        </w:rPr>
        <w:t>ться (пересилаються)</w:t>
      </w:r>
      <w:r w:rsidRPr="00105B36">
        <w:rPr>
          <w:sz w:val="28"/>
          <w:szCs w:val="28"/>
        </w:rPr>
        <w:t xml:space="preserve"> на митну територію України у міжнародних поштових та експрес-відправленнях, у несупроводжуваному багажі</w:t>
      </w:r>
      <w:r>
        <w:rPr>
          <w:sz w:val="28"/>
          <w:szCs w:val="28"/>
        </w:rPr>
        <w:t>.</w:t>
      </w:r>
    </w:p>
    <w:p w:rsidR="00361943" w:rsidRDefault="00361943" w:rsidP="00334B7E">
      <w:pPr>
        <w:ind w:right="10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Можливість такого переміщення передбачена частиною третьою статті 234 </w:t>
      </w:r>
      <w:r w:rsidR="00177118">
        <w:rPr>
          <w:sz w:val="28"/>
          <w:szCs w:val="28"/>
        </w:rPr>
        <w:t>М</w:t>
      </w:r>
      <w:r w:rsidR="00334B7E">
        <w:rPr>
          <w:sz w:val="28"/>
          <w:szCs w:val="28"/>
        </w:rPr>
        <w:t>итного Кодексу.</w:t>
      </w:r>
    </w:p>
    <w:p w:rsidR="00361943" w:rsidRDefault="00361943" w:rsidP="00361943">
      <w:pPr>
        <w:pStyle w:val="a7"/>
        <w:ind w:firstLine="574"/>
        <w:jc w:val="both"/>
      </w:pPr>
      <w:r>
        <w:t>Підпунктами</w:t>
      </w:r>
      <w:r>
        <w:rPr>
          <w:spacing w:val="-26"/>
        </w:rPr>
        <w:t xml:space="preserve"> </w:t>
      </w:r>
      <w:r>
        <w:t>191.1.3</w:t>
      </w:r>
      <w:r>
        <w:rPr>
          <w:spacing w:val="-29"/>
        </w:rPr>
        <w:t xml:space="preserve"> </w:t>
      </w:r>
      <w:r>
        <w:t>i</w:t>
      </w:r>
      <w:r>
        <w:rPr>
          <w:spacing w:val="-37"/>
        </w:rPr>
        <w:t xml:space="preserve"> </w:t>
      </w:r>
      <w:r>
        <w:t>191.1.4</w:t>
      </w:r>
      <w:r>
        <w:rPr>
          <w:spacing w:val="-28"/>
        </w:rPr>
        <w:t xml:space="preserve"> </w:t>
      </w:r>
      <w:r>
        <w:t>пункту</w:t>
      </w:r>
      <w:r>
        <w:rPr>
          <w:spacing w:val="-28"/>
        </w:rPr>
        <w:t xml:space="preserve"> </w:t>
      </w:r>
      <w:r>
        <w:t>191.1</w:t>
      </w:r>
      <w:r>
        <w:rPr>
          <w:spacing w:val="-30"/>
        </w:rPr>
        <w:t xml:space="preserve"> </w:t>
      </w:r>
      <w:r>
        <w:t>статті</w:t>
      </w:r>
      <w:r>
        <w:rPr>
          <w:spacing w:val="-30"/>
        </w:rPr>
        <w:t xml:space="preserve"> </w:t>
      </w:r>
      <w:r>
        <w:t>191</w:t>
      </w:r>
      <w:r>
        <w:rPr>
          <w:spacing w:val="-35"/>
        </w:rPr>
        <w:t xml:space="preserve"> </w:t>
      </w:r>
      <w:r>
        <w:t>Податкового</w:t>
      </w:r>
      <w:r>
        <w:rPr>
          <w:spacing w:val="-24"/>
        </w:rPr>
        <w:t xml:space="preserve"> </w:t>
      </w:r>
      <w:r>
        <w:t>кодексу передбачено надання з 01.01.2021 операторами поштового зв’язку та</w:t>
      </w:r>
      <w:r>
        <w:rPr>
          <w:spacing w:val="-39"/>
        </w:rPr>
        <w:t xml:space="preserve"> </w:t>
      </w:r>
      <w:r>
        <w:t xml:space="preserve">експрес- </w:t>
      </w:r>
      <w:r w:rsidR="002C7E1C">
        <w:t>перевізниками митним органам реє</w:t>
      </w:r>
      <w:r>
        <w:t>стрів міжна</w:t>
      </w:r>
      <w:r w:rsidR="002C7E1C">
        <w:t>родних поштових відправлень, реє</w:t>
      </w:r>
      <w:r>
        <w:t>стрів міжна</w:t>
      </w:r>
      <w:r w:rsidR="002C7E1C">
        <w:t>родних експрес-відправлень (тимч</w:t>
      </w:r>
      <w:r>
        <w:t>асових, додаткових) при ввезенні</w:t>
      </w:r>
      <w:r>
        <w:rPr>
          <w:spacing w:val="-21"/>
        </w:rPr>
        <w:t xml:space="preserve"> </w:t>
      </w:r>
      <w:r>
        <w:t>на</w:t>
      </w:r>
      <w:r>
        <w:rPr>
          <w:spacing w:val="-29"/>
        </w:rPr>
        <w:t xml:space="preserve"> </w:t>
      </w:r>
      <w:r>
        <w:t>митну</w:t>
      </w:r>
      <w:r>
        <w:rPr>
          <w:spacing w:val="-20"/>
        </w:rPr>
        <w:t xml:space="preserve"> </w:t>
      </w:r>
      <w:r>
        <w:t>територію</w:t>
      </w:r>
      <w:r>
        <w:rPr>
          <w:spacing w:val="-19"/>
        </w:rPr>
        <w:t xml:space="preserve"> </w:t>
      </w:r>
      <w:r>
        <w:t>України</w:t>
      </w:r>
      <w:r>
        <w:rPr>
          <w:spacing w:val="-15"/>
        </w:rPr>
        <w:t xml:space="preserve"> </w:t>
      </w:r>
      <w:r>
        <w:t>товарів</w:t>
      </w:r>
      <w:r>
        <w:rPr>
          <w:spacing w:val="-21"/>
        </w:rPr>
        <w:t xml:space="preserve"> </w:t>
      </w:r>
      <w:r>
        <w:t>у</w:t>
      </w:r>
      <w:r>
        <w:rPr>
          <w:spacing w:val="-30"/>
        </w:rPr>
        <w:t xml:space="preserve"> </w:t>
      </w:r>
      <w:r>
        <w:t>міжнародних</w:t>
      </w:r>
      <w:r>
        <w:rPr>
          <w:spacing w:val="-11"/>
        </w:rPr>
        <w:t xml:space="preserve"> </w:t>
      </w:r>
      <w:r>
        <w:t>поштових</w:t>
      </w:r>
      <w:r>
        <w:rPr>
          <w:spacing w:val="-15"/>
        </w:rPr>
        <w:t xml:space="preserve"> </w:t>
      </w:r>
      <w:r>
        <w:t>та мі</w:t>
      </w:r>
      <w:r w:rsidR="002C7E1C">
        <w:t>жнародних експрес-відправленн</w:t>
      </w:r>
      <w:r w:rsidR="00334B7E">
        <w:t>ях.</w:t>
      </w:r>
    </w:p>
    <w:p w:rsidR="00361943" w:rsidRDefault="00361943" w:rsidP="00361943">
      <w:pPr>
        <w:pStyle w:val="a7"/>
        <w:ind w:firstLine="572"/>
        <w:jc w:val="both"/>
      </w:pPr>
      <w:r>
        <w:t>На</w:t>
      </w:r>
      <w:r>
        <w:rPr>
          <w:spacing w:val="-19"/>
        </w:rPr>
        <w:t xml:space="preserve"> </w:t>
      </w:r>
      <w:r>
        <w:t>сьогодні</w:t>
      </w:r>
      <w:r>
        <w:rPr>
          <w:spacing w:val="-11"/>
        </w:rPr>
        <w:t xml:space="preserve"> </w:t>
      </w:r>
      <w:r>
        <w:t>Податковим</w:t>
      </w:r>
      <w:r>
        <w:rPr>
          <w:spacing w:val="-11"/>
        </w:rPr>
        <w:t xml:space="preserve"> </w:t>
      </w:r>
      <w:r>
        <w:t>кодексом</w:t>
      </w:r>
      <w:r>
        <w:rPr>
          <w:spacing w:val="-13"/>
        </w:rPr>
        <w:t xml:space="preserve"> </w:t>
      </w:r>
      <w:r>
        <w:t>встановлено,</w:t>
      </w:r>
      <w:r>
        <w:rPr>
          <w:spacing w:val="-6"/>
        </w:rPr>
        <w:t xml:space="preserve"> </w:t>
      </w:r>
      <w:r>
        <w:t>що</w:t>
      </w:r>
      <w:r>
        <w:rPr>
          <w:spacing w:val="-23"/>
        </w:rPr>
        <w:t xml:space="preserve"> </w:t>
      </w:r>
      <w:r w:rsidR="002C7E1C">
        <w:t>реєстри</w:t>
      </w:r>
      <w:r>
        <w:rPr>
          <w:spacing w:val="-14"/>
        </w:rPr>
        <w:t xml:space="preserve"> </w:t>
      </w:r>
      <w:r>
        <w:t>подаються</w:t>
      </w:r>
      <w:r>
        <w:rPr>
          <w:spacing w:val="-8"/>
        </w:rPr>
        <w:t xml:space="preserve"> </w:t>
      </w:r>
      <w:r>
        <w:t>на товари,</w:t>
      </w:r>
      <w:r>
        <w:rPr>
          <w:spacing w:val="-8"/>
        </w:rPr>
        <w:t xml:space="preserve"> </w:t>
      </w:r>
      <w:r>
        <w:t>сумарна</w:t>
      </w:r>
      <w:r>
        <w:rPr>
          <w:spacing w:val="-8"/>
        </w:rPr>
        <w:t xml:space="preserve"> </w:t>
      </w:r>
      <w:r>
        <w:t>фактурна</w:t>
      </w:r>
      <w:r>
        <w:rPr>
          <w:spacing w:val="-8"/>
        </w:rPr>
        <w:t xml:space="preserve"> </w:t>
      </w:r>
      <w:r>
        <w:t>вартість</w:t>
      </w:r>
      <w:r>
        <w:rPr>
          <w:spacing w:val="-9"/>
        </w:rPr>
        <w:t xml:space="preserve"> </w:t>
      </w:r>
      <w:r>
        <w:t>яких</w:t>
      </w:r>
      <w:r>
        <w:rPr>
          <w:spacing w:val="-14"/>
        </w:rPr>
        <w:t xml:space="preserve"> </w:t>
      </w:r>
      <w:r>
        <w:t>не</w:t>
      </w:r>
      <w:r>
        <w:rPr>
          <w:spacing w:val="-21"/>
        </w:rPr>
        <w:t xml:space="preserve"> </w:t>
      </w:r>
      <w:r w:rsidR="002C7E1C">
        <w:t>перевищує</w:t>
      </w:r>
      <w:r>
        <w:rPr>
          <w:spacing w:val="-6"/>
        </w:rPr>
        <w:t xml:space="preserve"> </w:t>
      </w:r>
      <w:r>
        <w:t>еквівалент</w:t>
      </w:r>
      <w:r>
        <w:rPr>
          <w:spacing w:val="-7"/>
        </w:rPr>
        <w:t xml:space="preserve"> </w:t>
      </w:r>
      <w:r>
        <w:t>150</w:t>
      </w:r>
      <w:r>
        <w:rPr>
          <w:spacing w:val="-29"/>
        </w:rPr>
        <w:t xml:space="preserve"> </w:t>
      </w:r>
      <w:r w:rsidR="002C7E1C">
        <w:t>є</w:t>
      </w:r>
      <w:r>
        <w:t>вро,</w:t>
      </w:r>
      <w:r>
        <w:rPr>
          <w:spacing w:val="-11"/>
        </w:rPr>
        <w:t xml:space="preserve"> </w:t>
      </w:r>
      <w:r>
        <w:t xml:space="preserve">що </w:t>
      </w:r>
      <w:r w:rsidR="002C7E1C">
        <w:t>надходять</w:t>
      </w:r>
      <w:r>
        <w:rPr>
          <w:spacing w:val="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одержувача</w:t>
      </w:r>
      <w:r>
        <w:rPr>
          <w:spacing w:val="-21"/>
        </w:rPr>
        <w:t xml:space="preserve"> </w:t>
      </w:r>
      <w:r>
        <w:rPr>
          <w:w w:val="90"/>
        </w:rPr>
        <w:t>—</w:t>
      </w:r>
      <w:r>
        <w:rPr>
          <w:spacing w:val="-30"/>
          <w:w w:val="90"/>
        </w:rPr>
        <w:t xml:space="preserve"> </w:t>
      </w:r>
      <w:r>
        <w:t>фізичної</w:t>
      </w:r>
      <w:r>
        <w:rPr>
          <w:spacing w:val="4"/>
        </w:rPr>
        <w:t xml:space="preserve"> </w:t>
      </w:r>
      <w:r>
        <w:t>особи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одній</w:t>
      </w:r>
      <w:r>
        <w:rPr>
          <w:spacing w:val="-9"/>
        </w:rPr>
        <w:t xml:space="preserve"> </w:t>
      </w:r>
      <w:r>
        <w:t>депеші</w:t>
      </w:r>
      <w:r>
        <w:rPr>
          <w:spacing w:val="1"/>
        </w:rPr>
        <w:t xml:space="preserve"> </w:t>
      </w:r>
      <w:r>
        <w:t>від</w:t>
      </w:r>
      <w:r>
        <w:rPr>
          <w:spacing w:val="-10"/>
        </w:rPr>
        <w:t xml:space="preserve"> </w:t>
      </w:r>
      <w:r>
        <w:t>одного відправника у міжнародних поштових відправленнях a6o в одному вантажі експрес-перевізника від одного відправника у міжнародних експрес- відправленнях.</w:t>
      </w:r>
    </w:p>
    <w:p w:rsidR="00361943" w:rsidRDefault="00361943" w:rsidP="00361943">
      <w:pPr>
        <w:pStyle w:val="a7"/>
        <w:ind w:firstLine="566"/>
        <w:jc w:val="both"/>
      </w:pPr>
      <w:r>
        <w:t xml:space="preserve">Застосування </w:t>
      </w:r>
      <w:r w:rsidR="002C7E1C">
        <w:t>реєстрів</w:t>
      </w:r>
      <w:r>
        <w:t xml:space="preserve"> для </w:t>
      </w:r>
      <w:r w:rsidR="002C7E1C">
        <w:t>декларування</w:t>
      </w:r>
      <w:r>
        <w:t xml:space="preserve"> операторами поштового зв’язку та експрес-перевізниками товарів, </w:t>
      </w:r>
      <w:r w:rsidR="002C7E1C">
        <w:t>сумарна</w:t>
      </w:r>
      <w:r>
        <w:t xml:space="preserve"> фактурна вартість яких </w:t>
      </w:r>
      <w:r w:rsidR="002C7E1C">
        <w:t>перевищує</w:t>
      </w:r>
      <w:r>
        <w:t xml:space="preserve"> еквівалент 150 </w:t>
      </w:r>
      <w:r w:rsidR="002C7E1C">
        <w:t>євро</w:t>
      </w:r>
      <w:r>
        <w:t xml:space="preserve">, але не </w:t>
      </w:r>
      <w:r w:rsidR="002C7E1C">
        <w:t>перевищує</w:t>
      </w:r>
      <w:r>
        <w:t xml:space="preserve">  </w:t>
      </w:r>
      <w:r w:rsidR="002C7E1C">
        <w:t>еквівалент</w:t>
      </w:r>
      <w:r>
        <w:t xml:space="preserve"> 10 000 </w:t>
      </w:r>
      <w:r w:rsidR="002C7E1C">
        <w:t>євро</w:t>
      </w:r>
      <w:r>
        <w:t xml:space="preserve">, з огляду на те, що запровадження </w:t>
      </w:r>
      <w:r w:rsidR="002C7E1C">
        <w:t>реєстрів</w:t>
      </w:r>
      <w:r>
        <w:t xml:space="preserve"> у цих випадках може призвести до таких негативних наслідків</w:t>
      </w:r>
      <w:r>
        <w:rPr>
          <w:spacing w:val="11"/>
        </w:rPr>
        <w:t xml:space="preserve"> </w:t>
      </w:r>
      <w:r>
        <w:t>як:</w:t>
      </w:r>
    </w:p>
    <w:p w:rsidR="00361943" w:rsidRDefault="00361943" w:rsidP="00361943">
      <w:pPr>
        <w:pStyle w:val="a7"/>
        <w:ind w:firstLine="566"/>
        <w:jc w:val="both"/>
      </w:pPr>
      <w:r>
        <w:t>можливість уникнення оподаткування товарів у повному обсязі,</w:t>
      </w:r>
      <w:r>
        <w:rPr>
          <w:spacing w:val="-38"/>
        </w:rPr>
        <w:t xml:space="preserve"> </w:t>
      </w:r>
      <w:r>
        <w:t xml:space="preserve">оскільки неповний опис товарів, який буде використовуватись у </w:t>
      </w:r>
      <w:r w:rsidR="002C7E1C">
        <w:t>реєстрах</w:t>
      </w:r>
      <w:r>
        <w:t xml:space="preserve"> (наприклад, телефони, вартість 9000 </w:t>
      </w:r>
      <w:r w:rsidR="002C7E1C">
        <w:t>євро</w:t>
      </w:r>
      <w:r>
        <w:t>), може стати приводом не перевіряти детальний опис та реальну вартість</w:t>
      </w:r>
      <w:r>
        <w:rPr>
          <w:spacing w:val="-1"/>
        </w:rPr>
        <w:t xml:space="preserve"> </w:t>
      </w:r>
      <w:r>
        <w:t>товарів;</w:t>
      </w:r>
    </w:p>
    <w:p w:rsidR="00687508" w:rsidRPr="00687508" w:rsidRDefault="00361943" w:rsidP="00256A00">
      <w:pPr>
        <w:pStyle w:val="a7"/>
        <w:ind w:firstLine="571"/>
        <w:jc w:val="both"/>
        <w:rPr>
          <w:sz w:val="28"/>
          <w:szCs w:val="28"/>
        </w:rPr>
      </w:pPr>
      <w:r>
        <w:lastRenderedPageBreak/>
        <w:t xml:space="preserve">незастосування заходів нетарифного регулювання, заходів контролю товарів, що містять </w:t>
      </w:r>
      <w:r w:rsidR="002C7E1C">
        <w:t>об’єкти</w:t>
      </w:r>
      <w:r>
        <w:t xml:space="preserve"> права інтелектуальної власності, тощо через відсутність детального опису товару та коду згідно з УKT ЗЕД.</w:t>
      </w:r>
    </w:p>
    <w:p w:rsidR="004365A6" w:rsidRPr="008769E2" w:rsidRDefault="004365A6" w:rsidP="004365A6">
      <w:pPr>
        <w:ind w:firstLine="567"/>
        <w:jc w:val="both"/>
        <w:rPr>
          <w:sz w:val="28"/>
          <w:szCs w:val="28"/>
        </w:rPr>
      </w:pPr>
      <w:r w:rsidRPr="008769E2">
        <w:rPr>
          <w:sz w:val="28"/>
          <w:szCs w:val="28"/>
        </w:rPr>
        <w:t xml:space="preserve">Частиною першою статті 27 Бюджетного кодексу України визначено, що до </w:t>
      </w:r>
      <w:proofErr w:type="spellStart"/>
      <w:r w:rsidRPr="008769E2">
        <w:rPr>
          <w:sz w:val="28"/>
          <w:szCs w:val="28"/>
        </w:rPr>
        <w:t>законопроє</w:t>
      </w:r>
      <w:bookmarkStart w:id="0" w:name="_GoBack"/>
      <w:bookmarkEnd w:id="0"/>
      <w:r w:rsidRPr="008769E2">
        <w:rPr>
          <w:sz w:val="28"/>
          <w:szCs w:val="28"/>
        </w:rPr>
        <w:t>кту</w:t>
      </w:r>
      <w:proofErr w:type="spellEnd"/>
      <w:r w:rsidRPr="008769E2">
        <w:rPr>
          <w:sz w:val="28"/>
          <w:szCs w:val="28"/>
        </w:rPr>
        <w:t xml:space="preserve">, прийняття якого призведе до зміни показників бюджету, суб’єкт права законодавчої ініціативи зобов’язаний додати фінансово-економічне обґрунтування (включаючи відповідні розрахунки). Якщо такі зміни показників бюджету передбачають зменшення надходжень бюджету та/або збільшення витрат бюджету, до </w:t>
      </w:r>
      <w:proofErr w:type="spellStart"/>
      <w:r w:rsidRPr="008769E2">
        <w:rPr>
          <w:sz w:val="28"/>
          <w:szCs w:val="28"/>
        </w:rPr>
        <w:t>законопроєкту</w:t>
      </w:r>
      <w:proofErr w:type="spellEnd"/>
      <w:r w:rsidRPr="008769E2">
        <w:rPr>
          <w:sz w:val="28"/>
          <w:szCs w:val="28"/>
        </w:rPr>
        <w:t xml:space="preserve"> подаються пропозиції змін до законодавчих актів України щодо скорочення витрат бюджету та/або джерел додаткових надходжень бюджету для досягнення збалансованості бюджету. Разом з тим пояснювальна записка до </w:t>
      </w:r>
      <w:proofErr w:type="spellStart"/>
      <w:r w:rsidRPr="008769E2">
        <w:rPr>
          <w:sz w:val="28"/>
          <w:szCs w:val="28"/>
        </w:rPr>
        <w:t>законопроєкту</w:t>
      </w:r>
      <w:proofErr w:type="spellEnd"/>
      <w:r w:rsidRPr="008769E2">
        <w:rPr>
          <w:sz w:val="28"/>
          <w:szCs w:val="28"/>
        </w:rPr>
        <w:t xml:space="preserve"> не містить фінансово-економічного обґрунтування (включаючи відповідні розрахунки) щодо можливих втрат державного бюджету від недонадходження митних платежів. Відсутні також пропозиції щодо скорочення витрат бюджету та/або джерел додаткових надходжень бюджету для досягнення його збалансованості внаслідок прийняття цього </w:t>
      </w:r>
      <w:proofErr w:type="spellStart"/>
      <w:r w:rsidRPr="008769E2">
        <w:rPr>
          <w:sz w:val="28"/>
          <w:szCs w:val="28"/>
        </w:rPr>
        <w:t>законопроєкту</w:t>
      </w:r>
      <w:proofErr w:type="spellEnd"/>
      <w:r w:rsidRPr="008769E2">
        <w:rPr>
          <w:sz w:val="28"/>
          <w:szCs w:val="28"/>
        </w:rPr>
        <w:t xml:space="preserve">. </w:t>
      </w:r>
    </w:p>
    <w:p w:rsidR="004365A6" w:rsidRPr="008769E2" w:rsidRDefault="004365A6" w:rsidP="004365A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8769E2">
        <w:rPr>
          <w:rFonts w:cs="Courier New"/>
          <w:sz w:val="28"/>
          <w:szCs w:val="28"/>
        </w:rPr>
        <w:t xml:space="preserve">З огляду на зазначене, </w:t>
      </w:r>
      <w:proofErr w:type="spellStart"/>
      <w:r w:rsidRPr="008769E2">
        <w:rPr>
          <w:rFonts w:cs="Courier New"/>
          <w:sz w:val="28"/>
          <w:szCs w:val="28"/>
        </w:rPr>
        <w:t>з</w:t>
      </w:r>
      <w:r w:rsidRPr="008769E2">
        <w:rPr>
          <w:sz w:val="28"/>
          <w:szCs w:val="28"/>
        </w:rPr>
        <w:t>аконопроєкт</w:t>
      </w:r>
      <w:proofErr w:type="spellEnd"/>
      <w:r w:rsidRPr="008769E2">
        <w:rPr>
          <w:sz w:val="28"/>
          <w:szCs w:val="28"/>
        </w:rPr>
        <w:t xml:space="preserve"> не підтримується.</w:t>
      </w:r>
    </w:p>
    <w:p w:rsidR="004365A6" w:rsidRDefault="004365A6" w:rsidP="004365A6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4365A6" w:rsidRPr="00F25B1F" w:rsidRDefault="004365A6" w:rsidP="004365A6">
      <w:pPr>
        <w:tabs>
          <w:tab w:val="left" w:pos="993"/>
          <w:tab w:val="left" w:pos="1276"/>
        </w:tabs>
        <w:ind w:left="28" w:firstLine="539"/>
        <w:jc w:val="both"/>
        <w:rPr>
          <w:sz w:val="28"/>
          <w:szCs w:val="28"/>
        </w:rPr>
      </w:pPr>
    </w:p>
    <w:p w:rsidR="004365A6" w:rsidRPr="00F25B1F" w:rsidRDefault="004365A6" w:rsidP="004365A6">
      <w:pPr>
        <w:jc w:val="both"/>
        <w:rPr>
          <w:b/>
          <w:sz w:val="28"/>
          <w:szCs w:val="28"/>
        </w:rPr>
      </w:pPr>
    </w:p>
    <w:p w:rsidR="00687508" w:rsidRPr="00687508" w:rsidRDefault="00687508" w:rsidP="00687508">
      <w:pPr>
        <w:tabs>
          <w:tab w:val="left" w:pos="-284"/>
        </w:tabs>
        <w:jc w:val="both"/>
        <w:rPr>
          <w:b/>
          <w:sz w:val="28"/>
          <w:szCs w:val="28"/>
        </w:rPr>
      </w:pPr>
      <w:r w:rsidRPr="00687508">
        <w:rPr>
          <w:b/>
          <w:sz w:val="28"/>
          <w:szCs w:val="28"/>
        </w:rPr>
        <w:t xml:space="preserve">В.о. Голови     </w:t>
      </w:r>
      <w:r w:rsidRPr="00687508">
        <w:rPr>
          <w:b/>
          <w:sz w:val="28"/>
          <w:szCs w:val="28"/>
        </w:rPr>
        <w:tab/>
      </w:r>
      <w:r w:rsidRPr="00687508">
        <w:rPr>
          <w:b/>
          <w:sz w:val="28"/>
          <w:szCs w:val="28"/>
        </w:rPr>
        <w:tab/>
      </w:r>
      <w:r w:rsidRPr="00687508">
        <w:rPr>
          <w:b/>
          <w:sz w:val="28"/>
          <w:szCs w:val="28"/>
        </w:rPr>
        <w:tab/>
      </w:r>
      <w:r w:rsidRPr="00687508">
        <w:rPr>
          <w:b/>
          <w:sz w:val="28"/>
          <w:szCs w:val="28"/>
        </w:rPr>
        <w:tab/>
      </w:r>
      <w:r w:rsidRPr="00687508">
        <w:rPr>
          <w:b/>
          <w:sz w:val="28"/>
          <w:szCs w:val="28"/>
        </w:rPr>
        <w:tab/>
        <w:t xml:space="preserve">                                      Євгеній ЄНТІС</w:t>
      </w:r>
    </w:p>
    <w:p w:rsidR="00687508" w:rsidRPr="008A494A" w:rsidRDefault="00687508" w:rsidP="00687508"/>
    <w:p w:rsidR="004365A6" w:rsidRPr="00F25B1F" w:rsidRDefault="004365A6" w:rsidP="004365A6">
      <w:pPr>
        <w:jc w:val="both"/>
        <w:rPr>
          <w:b/>
          <w:sz w:val="28"/>
          <w:szCs w:val="28"/>
        </w:rPr>
      </w:pPr>
    </w:p>
    <w:p w:rsidR="004365A6" w:rsidRDefault="004365A6" w:rsidP="004365A6"/>
    <w:p w:rsidR="00A459EA" w:rsidRDefault="00ED4C2A"/>
    <w:sectPr w:rsidR="00A459EA" w:rsidSect="00040A94">
      <w:headerReference w:type="default" r:id="rId7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C2A" w:rsidRDefault="00ED4C2A">
      <w:r>
        <w:separator/>
      </w:r>
    </w:p>
  </w:endnote>
  <w:endnote w:type="continuationSeparator" w:id="0">
    <w:p w:rsidR="00ED4C2A" w:rsidRDefault="00ED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C2A" w:rsidRDefault="00ED4C2A">
      <w:r>
        <w:separator/>
      </w:r>
    </w:p>
  </w:footnote>
  <w:footnote w:type="continuationSeparator" w:id="0">
    <w:p w:rsidR="00ED4C2A" w:rsidRDefault="00ED4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274" w:rsidRDefault="004A022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7E1C">
      <w:rPr>
        <w:noProof/>
      </w:rPr>
      <w:t>3</w:t>
    </w:r>
    <w:r>
      <w:fldChar w:fldCharType="end"/>
    </w:r>
  </w:p>
  <w:p w:rsidR="007A0274" w:rsidRDefault="00ED4C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78"/>
    <w:rsid w:val="0009445B"/>
    <w:rsid w:val="0013777B"/>
    <w:rsid w:val="00177118"/>
    <w:rsid w:val="00231F78"/>
    <w:rsid w:val="00240222"/>
    <w:rsid w:val="00256A00"/>
    <w:rsid w:val="002C7E1C"/>
    <w:rsid w:val="00334B7E"/>
    <w:rsid w:val="00361943"/>
    <w:rsid w:val="004365A6"/>
    <w:rsid w:val="004A0225"/>
    <w:rsid w:val="006508ED"/>
    <w:rsid w:val="00687508"/>
    <w:rsid w:val="0072588A"/>
    <w:rsid w:val="007A6F56"/>
    <w:rsid w:val="007C02F5"/>
    <w:rsid w:val="00922DA2"/>
    <w:rsid w:val="00985C9C"/>
    <w:rsid w:val="00992893"/>
    <w:rsid w:val="00C07DE5"/>
    <w:rsid w:val="00C86069"/>
    <w:rsid w:val="00ED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65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65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365A6"/>
    <w:pPr>
      <w:spacing w:after="0" w:line="240" w:lineRule="auto"/>
      <w:ind w:left="23"/>
      <w:jc w:val="both"/>
    </w:pPr>
    <w:rPr>
      <w:rFonts w:ascii="Century Gothic" w:eastAsia="Times New Roman" w:hAnsi="Century Gothic" w:cs="Times New Roman"/>
      <w:lang w:val="en-US"/>
    </w:rPr>
  </w:style>
  <w:style w:type="paragraph" w:customStyle="1" w:styleId="Style3">
    <w:name w:val="Style3"/>
    <w:basedOn w:val="a"/>
    <w:uiPriority w:val="99"/>
    <w:rsid w:val="004365A6"/>
    <w:pPr>
      <w:widowControl w:val="0"/>
      <w:autoSpaceDE w:val="0"/>
      <w:autoSpaceDN w:val="0"/>
      <w:adjustRightInd w:val="0"/>
      <w:spacing w:line="322" w:lineRule="exact"/>
      <w:ind w:firstLine="528"/>
      <w:jc w:val="both"/>
    </w:pPr>
    <w:rPr>
      <w:lang w:val="en-US" w:eastAsia="en-US"/>
    </w:rPr>
  </w:style>
  <w:style w:type="character" w:customStyle="1" w:styleId="FontStyle12">
    <w:name w:val="Font Style12"/>
    <w:uiPriority w:val="99"/>
    <w:rsid w:val="004365A6"/>
    <w:rPr>
      <w:rFonts w:ascii="Times New Roman" w:hAnsi="Times New Roman"/>
      <w:sz w:val="26"/>
    </w:rPr>
  </w:style>
  <w:style w:type="paragraph" w:styleId="a6">
    <w:name w:val="List Paragraph"/>
    <w:basedOn w:val="a"/>
    <w:uiPriority w:val="34"/>
    <w:qFormat/>
    <w:rsid w:val="00985C9C"/>
    <w:pPr>
      <w:ind w:left="720" w:firstLine="709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7">
    <w:name w:val="Body Text"/>
    <w:basedOn w:val="a"/>
    <w:link w:val="a8"/>
    <w:uiPriority w:val="1"/>
    <w:qFormat/>
    <w:rsid w:val="00361943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361943"/>
    <w:rPr>
      <w:rFonts w:ascii="Times New Roman" w:eastAsia="Times New Roman" w:hAnsi="Times New Roman" w:cs="Times New Roman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65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65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365A6"/>
    <w:pPr>
      <w:spacing w:after="0" w:line="240" w:lineRule="auto"/>
      <w:ind w:left="23"/>
      <w:jc w:val="both"/>
    </w:pPr>
    <w:rPr>
      <w:rFonts w:ascii="Century Gothic" w:eastAsia="Times New Roman" w:hAnsi="Century Gothic" w:cs="Times New Roman"/>
      <w:lang w:val="en-US"/>
    </w:rPr>
  </w:style>
  <w:style w:type="paragraph" w:customStyle="1" w:styleId="Style3">
    <w:name w:val="Style3"/>
    <w:basedOn w:val="a"/>
    <w:uiPriority w:val="99"/>
    <w:rsid w:val="004365A6"/>
    <w:pPr>
      <w:widowControl w:val="0"/>
      <w:autoSpaceDE w:val="0"/>
      <w:autoSpaceDN w:val="0"/>
      <w:adjustRightInd w:val="0"/>
      <w:spacing w:line="322" w:lineRule="exact"/>
      <w:ind w:firstLine="528"/>
      <w:jc w:val="both"/>
    </w:pPr>
    <w:rPr>
      <w:lang w:val="en-US" w:eastAsia="en-US"/>
    </w:rPr>
  </w:style>
  <w:style w:type="character" w:customStyle="1" w:styleId="FontStyle12">
    <w:name w:val="Font Style12"/>
    <w:uiPriority w:val="99"/>
    <w:rsid w:val="004365A6"/>
    <w:rPr>
      <w:rFonts w:ascii="Times New Roman" w:hAnsi="Times New Roman"/>
      <w:sz w:val="26"/>
    </w:rPr>
  </w:style>
  <w:style w:type="paragraph" w:styleId="a6">
    <w:name w:val="List Paragraph"/>
    <w:basedOn w:val="a"/>
    <w:uiPriority w:val="34"/>
    <w:qFormat/>
    <w:rsid w:val="00985C9C"/>
    <w:pPr>
      <w:ind w:left="720" w:firstLine="709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7">
    <w:name w:val="Body Text"/>
    <w:basedOn w:val="a"/>
    <w:link w:val="a8"/>
    <w:uiPriority w:val="1"/>
    <w:qFormat/>
    <w:rsid w:val="00361943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361943"/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3998</Words>
  <Characters>2280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2020-11-16T10:10:00Z</cp:lastPrinted>
  <dcterms:created xsi:type="dcterms:W3CDTF">2020-11-12T13:08:00Z</dcterms:created>
  <dcterms:modified xsi:type="dcterms:W3CDTF">2020-11-16T10:11:00Z</dcterms:modified>
</cp:coreProperties>
</file>