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912641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6F7AF3" w:rsidRDefault="006F7AF3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F7A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КОМУНАЛЬНІ ПОСЛУГИ З ВИВЕЗЕННЯ ТА ЗАХОРОНЕННЯ ТВЕРДИХ ПОБУТОВИХ ВІДХОДІВ</w:t>
      </w:r>
    </w:p>
    <w:p w:rsidR="00131FD5" w:rsidRPr="00912641" w:rsidRDefault="00131FD5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КОДОМ ДК 021:2015 </w:t>
      </w:r>
      <w:r w:rsidR="00E53990"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90510000-5 (УТИЛІЗАЦІЯ/ВИДАЛЕННЯ СМІТТЯ ТА ПОВОДЖЕННЯ ЗІ СМІТТЯМ)</w:t>
      </w:r>
    </w:p>
    <w:p w:rsidR="003C476C" w:rsidRPr="00912641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641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912641">
        <w:rPr>
          <w:rFonts w:ascii="Times New Roman" w:hAnsi="Times New Roman" w:cs="Times New Roman"/>
          <w:sz w:val="28"/>
          <w:szCs w:val="28"/>
        </w:rPr>
        <w:t xml:space="preserve"> 4</w:t>
      </w:r>
      <w:r w:rsidRPr="0091264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12641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912641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912641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91264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12641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)</w:t>
      </w:r>
    </w:p>
    <w:p w:rsidR="006E7A9F" w:rsidRPr="00912641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"/>
        <w:gridCol w:w="2305"/>
        <w:gridCol w:w="6910"/>
      </w:tblGrid>
      <w:tr w:rsidR="00912641" w:rsidRPr="00912641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6911" w:type="dxa"/>
          </w:tcPr>
          <w:p w:rsidR="006E7A9F" w:rsidRPr="00912641" w:rsidRDefault="00C512A6" w:rsidP="000D3942">
            <w:pPr>
              <w:ind w:firstLine="60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2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UA-2026-02-11-013205-a</w:t>
            </w:r>
          </w:p>
        </w:tc>
      </w:tr>
      <w:tr w:rsidR="00912641" w:rsidRPr="00912641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6911" w:type="dxa"/>
          </w:tcPr>
          <w:p w:rsidR="005444AB" w:rsidRPr="00DE4B2A" w:rsidRDefault="0080014F" w:rsidP="00DE4B2A">
            <w:pPr>
              <w:ind w:firstLine="6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375EE3" w:rsidRPr="00375EE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Комунальні послуги з вивезення та захоронення твердих побутових відходів</w:t>
            </w:r>
            <w:r w:rsidR="00375EE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кодом</w:t>
            </w:r>
            <w:r w:rsidR="00375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ДК 021:2015 </w:t>
            </w:r>
            <w:r w:rsidR="007903AE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90510000-5 (утилізація/видалення сміття та поводження зі сміттям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Pr="00912641" w:rsidRDefault="0080014F" w:rsidP="00844C90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F01C01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86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моменту </w:t>
            </w:r>
            <w:r w:rsidR="00723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підписання</w:t>
            </w:r>
            <w:r w:rsidR="00586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договору </w:t>
            </w:r>
            <w:r w:rsidR="00130C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>о 31.12.202</w:t>
            </w:r>
            <w:r w:rsidR="00D22880" w:rsidRPr="00D228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723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включно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2A44" w:rsidRDefault="00711A5F" w:rsidP="00222A44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E4B2A" w:rsidRPr="00DE4B2A" w:rsidRDefault="00DE4B2A" w:rsidP="00DE4B2A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4B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="00723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Одеська область, м. </w:t>
            </w:r>
            <w:proofErr w:type="spellStart"/>
            <w:r w:rsidR="00723A7E" w:rsidRPr="00723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Подільськ</w:t>
            </w:r>
            <w:proofErr w:type="spellEnd"/>
            <w:r w:rsidR="00723A7E" w:rsidRPr="00723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</w:t>
            </w:r>
            <w:r w:rsidR="00723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723A7E" w:rsidRPr="00723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Соборна, 119</w:t>
            </w:r>
            <w:r w:rsidRPr="00DE4B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B2543" w:rsidRDefault="002A765A" w:rsidP="006B2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</w:pPr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О</w:t>
            </w:r>
            <w:r w:rsidR="00D22880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бсяг надання послуги: </w:t>
            </w:r>
            <w:r w:rsidR="00D22880" w:rsidRPr="00D22880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15</w:t>
            </w:r>
            <w:r w:rsidR="006B2543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куб. м (розраховано відповідно до потреб Замовника з урахуванням </w:t>
            </w:r>
            <w:proofErr w:type="spellStart"/>
            <w:r w:rsidR="006B2543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закупів</w:t>
            </w:r>
            <w:r w:rsidR="00FB1DF9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е</w:t>
            </w:r>
            <w:r w:rsidR="006B2543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л</w:t>
            </w:r>
            <w:r w:rsidR="00FB1DF9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ь</w:t>
            </w:r>
            <w:proofErr w:type="spellEnd"/>
            <w:r w:rsidR="006B2543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</w:t>
            </w:r>
            <w:r w:rsidR="00AE4F95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аналогічної послуги у попередні роки</w:t>
            </w:r>
            <w:r w:rsid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та з урахуванням </w:t>
            </w:r>
            <w:r w:rsidR="00AA149C" w:rsidRP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продовж</w:t>
            </w:r>
            <w:r w:rsid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ення дії</w:t>
            </w:r>
            <w:r w:rsidR="00AA149C" w:rsidRP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договору</w:t>
            </w:r>
            <w:r w:rsid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, укладеного у 202</w:t>
            </w:r>
            <w:r w:rsidR="00D22880" w:rsidRPr="00D22880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5</w:t>
            </w:r>
            <w:r w:rsid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році,</w:t>
            </w:r>
            <w:r w:rsidR="00AA149C" w:rsidRP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на строк достатній для проведення процедури закупівлі на початку 202</w:t>
            </w:r>
            <w:r w:rsidR="00D22880" w:rsidRPr="00D22880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6</w:t>
            </w:r>
            <w:r w:rsidR="00AA149C" w:rsidRP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року, в обсязі, що не перевищує 2</w:t>
            </w:r>
            <w:r w:rsid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0 відсотків суми, визначеної в д</w:t>
            </w:r>
            <w:r w:rsidR="00AA149C" w:rsidRP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оговорі</w:t>
            </w:r>
            <w:r w:rsidR="00AE4F95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).</w:t>
            </w:r>
          </w:p>
          <w:p w:rsidR="005E20D7" w:rsidRDefault="005E20D7" w:rsidP="006B2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</w:pPr>
          </w:p>
          <w:p w:rsidR="005E20D7" w:rsidRDefault="005E20D7" w:rsidP="005E2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12DA5">
              <w:rPr>
                <w:rFonts w:ascii="Times New Roman" w:hAnsi="Times New Roman"/>
                <w:b/>
                <w:lang w:val="uk-UA"/>
              </w:rPr>
              <w:t>Дисло</w:t>
            </w:r>
            <w:r w:rsidR="00D22880">
              <w:rPr>
                <w:rFonts w:ascii="Times New Roman" w:hAnsi="Times New Roman"/>
                <w:b/>
                <w:lang w:val="uk-UA"/>
              </w:rPr>
              <w:t>кація контейнерів</w:t>
            </w:r>
          </w:p>
          <w:tbl>
            <w:tblPr>
              <w:tblW w:w="6087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1894"/>
              <w:gridCol w:w="1408"/>
              <w:gridCol w:w="1408"/>
              <w:gridCol w:w="1377"/>
            </w:tblGrid>
            <w:tr w:rsidR="009F62B5" w:rsidRPr="00992394" w:rsidTr="009F62B5">
              <w:trPr>
                <w:trHeight w:val="719"/>
                <w:jc w:val="center"/>
              </w:trPr>
              <w:tc>
                <w:tcPr>
                  <w:tcW w:w="18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92394">
                    <w:rPr>
                      <w:rFonts w:ascii="Times New Roman" w:hAnsi="Times New Roman" w:cs="Times New Roman"/>
                      <w:lang w:val="uk-UA"/>
                    </w:rPr>
                    <w:t>Дислокація контейнерів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92394">
                    <w:rPr>
                      <w:rFonts w:ascii="Times New Roman" w:hAnsi="Times New Roman" w:cs="Times New Roman"/>
                      <w:lang w:val="uk-UA"/>
                    </w:rPr>
                    <w:t xml:space="preserve">Ємкість контейнерів, </w:t>
                  </w:r>
                </w:p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92394">
                    <w:rPr>
                      <w:rFonts w:ascii="Times New Roman" w:hAnsi="Times New Roman" w:cs="Times New Roman"/>
                      <w:lang w:val="uk-UA"/>
                    </w:rPr>
                    <w:t>м</w:t>
                  </w:r>
                  <w:r w:rsidRPr="00992394">
                    <w:rPr>
                      <w:rFonts w:ascii="Times New Roman" w:hAnsi="Times New Roman" w:cs="Times New Roman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92394">
                    <w:rPr>
                      <w:rFonts w:ascii="Times New Roman" w:hAnsi="Times New Roman" w:cs="Times New Roman"/>
                      <w:lang w:val="uk-UA"/>
                    </w:rPr>
                    <w:t>Кіл-</w:t>
                  </w:r>
                  <w:proofErr w:type="spellStart"/>
                  <w:r w:rsidRPr="00992394">
                    <w:rPr>
                      <w:rFonts w:ascii="Times New Roman" w:hAnsi="Times New Roman" w:cs="Times New Roman"/>
                      <w:lang w:val="uk-UA"/>
                    </w:rPr>
                    <w:t>сть</w:t>
                  </w:r>
                  <w:proofErr w:type="spellEnd"/>
                  <w:r w:rsidRPr="00992394">
                    <w:rPr>
                      <w:rFonts w:ascii="Times New Roman" w:hAnsi="Times New Roman" w:cs="Times New Roman"/>
                      <w:lang w:val="uk-UA"/>
                    </w:rPr>
                    <w:t xml:space="preserve"> контейнерів, </w:t>
                  </w:r>
                </w:p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92394">
                    <w:rPr>
                      <w:rFonts w:ascii="Times New Roman" w:hAnsi="Times New Roman" w:cs="Times New Roman"/>
                      <w:lang w:val="uk-UA"/>
                    </w:rPr>
                    <w:t>(од.)</w:t>
                  </w:r>
                </w:p>
              </w:tc>
              <w:tc>
                <w:tcPr>
                  <w:tcW w:w="14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Bookman Old Style" w:hAnsi="Bookman Old Style" w:cs="Times New Roman"/>
                      <w:sz w:val="25"/>
                      <w:szCs w:val="25"/>
                      <w:vertAlign w:val="superscript"/>
                      <w:lang w:val="uk-UA"/>
                    </w:rPr>
                  </w:pPr>
                  <w:r w:rsidRPr="00992394">
                    <w:rPr>
                      <w:rFonts w:ascii="Times New Roman" w:hAnsi="Times New Roman" w:cs="Times New Roman"/>
                      <w:lang w:val="uk-UA"/>
                    </w:rPr>
                    <w:t xml:space="preserve">Кількість, </w:t>
                  </w:r>
                  <w:r w:rsidRPr="00992394">
                    <w:rPr>
                      <w:rFonts w:ascii="Bookman Old Style" w:hAnsi="Bookman Old Style" w:cs="Times New Roman"/>
                      <w:sz w:val="25"/>
                      <w:szCs w:val="25"/>
                    </w:rPr>
                    <w:t>м</w:t>
                  </w:r>
                  <w:r w:rsidRPr="00992394">
                    <w:rPr>
                      <w:rFonts w:ascii="Bookman Old Style" w:hAnsi="Bookman Old Style" w:cs="Times New Roman"/>
                      <w:sz w:val="25"/>
                      <w:szCs w:val="25"/>
                      <w:vertAlign w:val="superscript"/>
                    </w:rPr>
                    <w:t>3</w:t>
                  </w:r>
                </w:p>
              </w:tc>
            </w:tr>
            <w:tr w:rsidR="009F62B5" w:rsidRPr="00992394" w:rsidTr="009F62B5">
              <w:trPr>
                <w:trHeight w:val="461"/>
                <w:jc w:val="center"/>
              </w:trPr>
              <w:tc>
                <w:tcPr>
                  <w:tcW w:w="18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47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F62B5" w:rsidRPr="00992394" w:rsidTr="00173589">
              <w:trPr>
                <w:trHeight w:val="330"/>
                <w:jc w:val="center"/>
              </w:trPr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0D7" w:rsidRPr="00992394" w:rsidRDefault="005E20D7" w:rsidP="005E20D7">
                  <w:pPr>
                    <w:spacing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Одеська обл.,</w:t>
                  </w:r>
                  <w:r w:rsidRPr="00992394">
                    <w:rPr>
                      <w:rFonts w:ascii="Times New Roman" w:hAnsi="Times New Roman" w:cs="Times New Roman"/>
                      <w:lang w:val="uk-UA"/>
                    </w:rPr>
                    <w:t xml:space="preserve"> м. </w:t>
                  </w:r>
                  <w:proofErr w:type="spellStart"/>
                  <w:r w:rsidRPr="00992394">
                    <w:rPr>
                      <w:rFonts w:ascii="Times New Roman" w:hAnsi="Times New Roman" w:cs="Times New Roman"/>
                      <w:lang w:val="uk-UA"/>
                    </w:rPr>
                    <w:t>Подільськ</w:t>
                  </w:r>
                  <w:proofErr w:type="spellEnd"/>
                  <w:r w:rsidRPr="00992394">
                    <w:rPr>
                      <w:rFonts w:ascii="Times New Roman" w:hAnsi="Times New Roman" w:cs="Times New Roman"/>
                      <w:lang w:val="uk-UA"/>
                    </w:rPr>
                    <w:t>, вул. Соборна, 119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992394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0,75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992394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2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0D7" w:rsidRPr="00992394" w:rsidRDefault="00FD5C89" w:rsidP="005E20D7">
                  <w:pPr>
                    <w:spacing w:line="240" w:lineRule="auto"/>
                    <w:ind w:left="-112" w:right="-130"/>
                    <w:jc w:val="center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8F760D">
                    <w:rPr>
                      <w:rFonts w:ascii="Times New Roman" w:hAnsi="Times New Roman" w:cs="Times New Roman"/>
                      <w:color w:val="000000"/>
                    </w:rPr>
                    <w:t>15</w:t>
                  </w:r>
                  <w:r w:rsidR="005E20D7" w:rsidRPr="00060A8F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 м</w:t>
                  </w:r>
                  <w:r w:rsidR="005E20D7" w:rsidRPr="00060A8F">
                    <w:rPr>
                      <w:rFonts w:ascii="Times New Roman" w:hAnsi="Times New Roman" w:cs="Times New Roman"/>
                      <w:color w:val="000000"/>
                      <w:vertAlign w:val="superscript"/>
                      <w:lang w:val="uk-UA"/>
                    </w:rPr>
                    <w:t>3</w:t>
                  </w:r>
                </w:p>
              </w:tc>
            </w:tr>
          </w:tbl>
          <w:p w:rsidR="005E20D7" w:rsidRPr="002A765A" w:rsidRDefault="005E20D7" w:rsidP="005E2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center"/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</w:pPr>
          </w:p>
          <w:p w:rsidR="009F62B5" w:rsidRPr="009F62B5" w:rsidRDefault="009F62B5" w:rsidP="009F6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</w:pPr>
            <w:r w:rsidRPr="009F62B5"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  <w:t>Учасник зобов’язується надати Замовнику послуги, якість яких відповідає стандартам та вимогам встановленим нормативно-правовими актами, які діють на території України та регулюють порядок надання таких Послуг.</w:t>
            </w:r>
          </w:p>
          <w:p w:rsidR="009F62B5" w:rsidRPr="009F62B5" w:rsidRDefault="009F62B5" w:rsidP="009F6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</w:pPr>
            <w:r w:rsidRPr="009F62B5"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  <w:lastRenderedPageBreak/>
              <w:t xml:space="preserve">Для видалення ТПВ використовуються технічно справні контейнери місткістю 0,75 м3, що належать Замовнику. </w:t>
            </w:r>
          </w:p>
          <w:p w:rsidR="009F62B5" w:rsidRPr="009F62B5" w:rsidRDefault="009F62B5" w:rsidP="009F6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</w:pPr>
            <w:r w:rsidRPr="009F62B5"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  <w:t>Завантаження відходів у контейнери здійснюється Замовником. Вивантаження відходів з контейнерів для перевезення здійснюється Учасником. Учасник вивозить ТПВ з: 08:00 години до 15:00  години.</w:t>
            </w:r>
          </w:p>
          <w:p w:rsidR="009F62B5" w:rsidRPr="009F62B5" w:rsidRDefault="009F62B5" w:rsidP="009F6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</w:pPr>
            <w:r w:rsidRPr="009F62B5"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  <w:t>Послуги щодо вивозу великогабаритних, ремонтних або рідких відходів здійснюється за погодженням між Учасником та Замовником.</w:t>
            </w:r>
          </w:p>
          <w:p w:rsidR="009F62B5" w:rsidRPr="009F62B5" w:rsidRDefault="009F62B5" w:rsidP="009F6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</w:pPr>
            <w:r w:rsidRPr="009F62B5"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  <w:t>Завантаження небезпечних відходів забороняється.</w:t>
            </w:r>
          </w:p>
          <w:p w:rsidR="00560849" w:rsidRPr="002A765A" w:rsidRDefault="009F62B5" w:rsidP="009F6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val="uk-UA" w:eastAsia="zh-CN"/>
              </w:rPr>
            </w:pPr>
            <w:r w:rsidRPr="009F62B5"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  <w:t>Тип та кількість спеціальних автотранспортних засобів, необхідних для перевезе</w:t>
            </w:r>
            <w:r w:rsidR="008F760D"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  <w:t>ння ТПВ, визначаються Учасником</w:t>
            </w:r>
            <w:bookmarkStart w:id="0" w:name="_GoBack"/>
            <w:bookmarkEnd w:id="0"/>
          </w:p>
        </w:tc>
      </w:tr>
      <w:tr w:rsidR="00912641" w:rsidRPr="006B2543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6911" w:type="dxa"/>
          </w:tcPr>
          <w:p w:rsidR="006E7A9F" w:rsidRPr="006B2543" w:rsidRDefault="000878CA" w:rsidP="00E81152">
            <w:pPr>
              <w:shd w:val="clear" w:color="auto" w:fill="FFFFFF"/>
              <w:spacing w:line="301" w:lineRule="atLeast"/>
              <w:ind w:firstLine="60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87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итниці на 202</w:t>
            </w:r>
            <w:r w:rsidR="00E81152" w:rsidRPr="00E811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E811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9</w:t>
            </w:r>
            <w:r w:rsidR="00E81152" w:rsidRPr="00E811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</w:t>
            </w:r>
            <w:r w:rsidRPr="00087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E81152" w:rsidRPr="00E811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</w:t>
            </w:r>
            <w:r w:rsidR="008F76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</w:t>
            </w:r>
          </w:p>
        </w:tc>
      </w:tr>
      <w:tr w:rsidR="005867F4" w:rsidRPr="008F760D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6911" w:type="dxa"/>
          </w:tcPr>
          <w:p w:rsidR="00CA76CC" w:rsidRPr="00912641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E8115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E4B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7C7B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="00E81152" w:rsidRPr="008F76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DE4B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81152" w:rsidRPr="008F76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2A76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грн</w:t>
            </w:r>
          </w:p>
          <w:p w:rsidR="00F97B07" w:rsidRPr="00912641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Визначення очікуваної вартості предмета закупівлі проведено у відповідності до порядку </w:t>
            </w:r>
            <w:r w:rsid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пункту 2</w:t>
            </w: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643461" w:rsidRDefault="003C5061" w:rsidP="007764A9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зв</w:t>
            </w:r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язку з </w:t>
            </w:r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обмежено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 конкуренцією на ринку послуг з управління змішаними побутовими відходами у м.</w:t>
            </w:r>
            <w:r w:rsidR="007764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="007764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Подільськ</w:t>
            </w:r>
            <w:proofErr w:type="spellEnd"/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неможливості отримання достатньої кількості інформації щодо актуальних ринкових цін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к</w:t>
            </w:r>
            <w:r w:rsidR="00F97B07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еруючись вищевказаною Методикою, для визначення очікуваної вартості предмета закупівлі здійснювався розрахунок </w:t>
            </w:r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очікуваної вартості послуг</w:t>
            </w:r>
            <w:r w:rsid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підставі закупіве</w:t>
            </w:r>
            <w:r w:rsidR="007B1F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льних цін попередніх </w:t>
            </w:r>
            <w:proofErr w:type="spellStart"/>
            <w:r w:rsidR="007B1F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</w:tr>
    </w:tbl>
    <w:p w:rsidR="006E7A9F" w:rsidRPr="00912641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912641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878CA"/>
    <w:rsid w:val="00094606"/>
    <w:rsid w:val="000C1787"/>
    <w:rsid w:val="000D3942"/>
    <w:rsid w:val="00105DE0"/>
    <w:rsid w:val="00130C1E"/>
    <w:rsid w:val="00131FD5"/>
    <w:rsid w:val="001372D9"/>
    <w:rsid w:val="00157F23"/>
    <w:rsid w:val="00171041"/>
    <w:rsid w:val="00173589"/>
    <w:rsid w:val="001864AF"/>
    <w:rsid w:val="00191441"/>
    <w:rsid w:val="0019145B"/>
    <w:rsid w:val="00222A44"/>
    <w:rsid w:val="002A765A"/>
    <w:rsid w:val="002B3D8E"/>
    <w:rsid w:val="002C0F83"/>
    <w:rsid w:val="00335384"/>
    <w:rsid w:val="00336F8E"/>
    <w:rsid w:val="00375EE3"/>
    <w:rsid w:val="003778F9"/>
    <w:rsid w:val="0038021F"/>
    <w:rsid w:val="0038791C"/>
    <w:rsid w:val="00394B51"/>
    <w:rsid w:val="003C476C"/>
    <w:rsid w:val="003C5061"/>
    <w:rsid w:val="003E14AF"/>
    <w:rsid w:val="00415284"/>
    <w:rsid w:val="005444AB"/>
    <w:rsid w:val="00550147"/>
    <w:rsid w:val="00560849"/>
    <w:rsid w:val="00566961"/>
    <w:rsid w:val="00581A04"/>
    <w:rsid w:val="005867F4"/>
    <w:rsid w:val="00595EE7"/>
    <w:rsid w:val="005A27FE"/>
    <w:rsid w:val="005E20D7"/>
    <w:rsid w:val="005F4B40"/>
    <w:rsid w:val="0060692C"/>
    <w:rsid w:val="00624E09"/>
    <w:rsid w:val="00630149"/>
    <w:rsid w:val="00643461"/>
    <w:rsid w:val="006B2543"/>
    <w:rsid w:val="006E7A9F"/>
    <w:rsid w:val="006F50D3"/>
    <w:rsid w:val="006F7AF3"/>
    <w:rsid w:val="00711A5F"/>
    <w:rsid w:val="00723A7E"/>
    <w:rsid w:val="007529B0"/>
    <w:rsid w:val="00766050"/>
    <w:rsid w:val="00772C64"/>
    <w:rsid w:val="007764A9"/>
    <w:rsid w:val="007903AE"/>
    <w:rsid w:val="007B1F3E"/>
    <w:rsid w:val="007C231B"/>
    <w:rsid w:val="007C7B92"/>
    <w:rsid w:val="007D6422"/>
    <w:rsid w:val="007E7B55"/>
    <w:rsid w:val="0080014F"/>
    <w:rsid w:val="008210B9"/>
    <w:rsid w:val="00832FA7"/>
    <w:rsid w:val="00844C90"/>
    <w:rsid w:val="00860A40"/>
    <w:rsid w:val="008D5F30"/>
    <w:rsid w:val="008E5560"/>
    <w:rsid w:val="008F760D"/>
    <w:rsid w:val="00912641"/>
    <w:rsid w:val="00937340"/>
    <w:rsid w:val="009E0E2B"/>
    <w:rsid w:val="009E61B3"/>
    <w:rsid w:val="009F62B5"/>
    <w:rsid w:val="00A11D77"/>
    <w:rsid w:val="00A469FA"/>
    <w:rsid w:val="00AA149C"/>
    <w:rsid w:val="00AA6395"/>
    <w:rsid w:val="00AE4F95"/>
    <w:rsid w:val="00B07FC7"/>
    <w:rsid w:val="00B10290"/>
    <w:rsid w:val="00B1032B"/>
    <w:rsid w:val="00B14F59"/>
    <w:rsid w:val="00B22008"/>
    <w:rsid w:val="00B22C89"/>
    <w:rsid w:val="00B41F86"/>
    <w:rsid w:val="00B56CF7"/>
    <w:rsid w:val="00B85481"/>
    <w:rsid w:val="00B8799D"/>
    <w:rsid w:val="00B97BD0"/>
    <w:rsid w:val="00BC080B"/>
    <w:rsid w:val="00C14F90"/>
    <w:rsid w:val="00C512A6"/>
    <w:rsid w:val="00CA15D2"/>
    <w:rsid w:val="00CA76CC"/>
    <w:rsid w:val="00CD2080"/>
    <w:rsid w:val="00CE04A2"/>
    <w:rsid w:val="00CE6895"/>
    <w:rsid w:val="00D22880"/>
    <w:rsid w:val="00DC28E1"/>
    <w:rsid w:val="00DE4B2A"/>
    <w:rsid w:val="00E53990"/>
    <w:rsid w:val="00E81152"/>
    <w:rsid w:val="00E95633"/>
    <w:rsid w:val="00F01C01"/>
    <w:rsid w:val="00F10FA9"/>
    <w:rsid w:val="00F656C3"/>
    <w:rsid w:val="00F71BBB"/>
    <w:rsid w:val="00F97B07"/>
    <w:rsid w:val="00FA2C7A"/>
    <w:rsid w:val="00FB1DF9"/>
    <w:rsid w:val="00FD5C89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EB5F"/>
  <w15:docId w15:val="{4FE2A587-F10D-44A0-97E6-415DD678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paragraph" w:styleId="1">
    <w:name w:val="heading 1"/>
    <w:basedOn w:val="a"/>
    <w:next w:val="a"/>
    <w:link w:val="10"/>
    <w:uiPriority w:val="9"/>
    <w:qFormat/>
    <w:rsid w:val="00560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608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104</cp:revision>
  <dcterms:created xsi:type="dcterms:W3CDTF">2022-12-14T12:00:00Z</dcterms:created>
  <dcterms:modified xsi:type="dcterms:W3CDTF">2026-02-12T08:40:00Z</dcterms:modified>
</cp:coreProperties>
</file>