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Default="0044463B" w:rsidP="00CE1A06">
            <w:pPr>
              <w:pStyle w:val="Standard"/>
              <w:jc w:val="both"/>
              <w:rPr>
                <w:lang w:val="uk-UA"/>
              </w:rPr>
            </w:pPr>
            <w:r w:rsidRPr="00091648">
              <w:rPr>
                <w:lang w:val="uk-UA"/>
              </w:rPr>
              <w:t>«</w:t>
            </w:r>
            <w:proofErr w:type="spellStart"/>
            <w:r w:rsidR="00AB6153">
              <w:t>Ветеринарне</w:t>
            </w:r>
            <w:proofErr w:type="spellEnd"/>
            <w:r w:rsidR="00AB6153">
              <w:t xml:space="preserve"> </w:t>
            </w:r>
            <w:proofErr w:type="spellStart"/>
            <w:r w:rsidR="00AB6153">
              <w:t>обслуговування</w:t>
            </w:r>
            <w:proofErr w:type="spellEnd"/>
            <w:r w:rsidR="00AB6153">
              <w:t xml:space="preserve"> </w:t>
            </w:r>
            <w:proofErr w:type="spellStart"/>
            <w:r w:rsidR="00AB6153">
              <w:t>службових</w:t>
            </w:r>
            <w:proofErr w:type="spellEnd"/>
            <w:r w:rsidR="00AB6153">
              <w:t xml:space="preserve"> </w:t>
            </w:r>
            <w:proofErr w:type="spellStart"/>
            <w:r w:rsidR="00AB6153">
              <w:t>собак</w:t>
            </w:r>
            <w:proofErr w:type="spellEnd"/>
            <w:r w:rsidRPr="00091648">
              <w:rPr>
                <w:lang w:val="uk-UA"/>
              </w:rPr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1F74C8" w:rsidRDefault="006A3DE5" w:rsidP="00A52A66">
            <w:pPr>
              <w:pStyle w:val="Standard"/>
              <w:jc w:val="both"/>
              <w:rPr>
                <w:lang w:val="ru-RU"/>
              </w:rPr>
            </w:pPr>
            <w:r w:rsidRPr="006A3DE5">
              <w:rPr>
                <w:lang w:val="uk-UA"/>
              </w:rPr>
              <w:t>85200000-1</w:t>
            </w:r>
            <w:r w:rsidR="006C356C" w:rsidRPr="006C356C">
              <w:rPr>
                <w:lang w:val="uk-UA"/>
              </w:rPr>
              <w:t xml:space="preserve">: </w:t>
            </w:r>
            <w:r w:rsidR="006C356C">
              <w:rPr>
                <w:lang w:val="uk-UA"/>
              </w:rPr>
              <w:t>«</w:t>
            </w:r>
            <w:r w:rsidRPr="006A3DE5">
              <w:rPr>
                <w:lang w:val="uk-UA"/>
              </w:rPr>
              <w:t>Ветеринарні послуги</w:t>
            </w:r>
            <w:r w:rsidR="006C356C">
              <w:rPr>
                <w:lang w:val="uk-UA"/>
              </w:rPr>
              <w:t>»</w:t>
            </w:r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F36BB0" w:rsidRDefault="00F36BB0" w:rsidP="00A52A66">
            <w:pPr>
              <w:pStyle w:val="Standard"/>
              <w:jc w:val="both"/>
              <w:rPr>
                <w:b/>
                <w:lang w:val="uk-UA"/>
              </w:rPr>
            </w:pPr>
            <w:hyperlink r:id="rId8" w:tgtFrame="_blank" w:history="1">
              <w:r>
                <w:rPr>
                  <w:rStyle w:val="a8"/>
                </w:rPr>
                <w:t>UA-2026-02-16-001844-a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3616C2" w:rsidRDefault="0003089F" w:rsidP="00873F6B">
            <w:pPr>
              <w:pStyle w:val="Standard"/>
              <w:ind w:left="32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Pr="0003089F">
              <w:rPr>
                <w:lang w:val="uk-UA"/>
              </w:rPr>
              <w:t xml:space="preserve">Якісні та технічні характеристики </w:t>
            </w:r>
            <w:r>
              <w:rPr>
                <w:lang w:val="uk-UA"/>
              </w:rPr>
              <w:t>предмета закупівлі</w:t>
            </w:r>
            <w:r w:rsidRPr="0003089F">
              <w:rPr>
                <w:lang w:val="uk-UA"/>
              </w:rPr>
              <w:t xml:space="preserve"> визначені з урахуванням реальних потреб</w:t>
            </w:r>
            <w:r>
              <w:rPr>
                <w:lang w:val="uk-UA"/>
              </w:rPr>
              <w:t xml:space="preserve"> Замовника </w:t>
            </w:r>
            <w:r w:rsidRPr="0003089F">
              <w:rPr>
                <w:lang w:val="uk-UA"/>
              </w:rPr>
              <w:t>та оптимальног</w:t>
            </w:r>
            <w:r w:rsidR="003616C2">
              <w:rPr>
                <w:lang w:val="uk-UA"/>
              </w:rPr>
              <w:t>о співвідношення ціни та якості.</w:t>
            </w:r>
          </w:p>
          <w:p w:rsidR="003616C2" w:rsidRDefault="003616C2" w:rsidP="003616C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Pr="00CC1640">
              <w:rPr>
                <w:rFonts w:ascii="Times New Roman" w:hAnsi="Times New Roman"/>
                <w:sz w:val="24"/>
              </w:rPr>
              <w:t>иконавець зобов’язується дотримуватись вимог Законів України «Про захист тварин від жорстокого поводження</w:t>
            </w:r>
            <w:r w:rsidRPr="009803CA">
              <w:rPr>
                <w:rFonts w:ascii="Times New Roman" w:hAnsi="Times New Roman"/>
                <w:sz w:val="24"/>
              </w:rPr>
              <w:t>», Закону України «Про захист населення від інфекційних хвороб», Закону України «Про забезпечення санітарного та епідеміологічного благополуччя населення»,</w:t>
            </w:r>
            <w:r w:rsidRPr="00CC1640">
              <w:rPr>
                <w:rFonts w:ascii="Times New Roman" w:hAnsi="Times New Roman"/>
                <w:sz w:val="24"/>
              </w:rPr>
              <w:t xml:space="preserve"> Закону України «Про ветеринарну медицину», </w:t>
            </w:r>
            <w:r>
              <w:rPr>
                <w:rFonts w:ascii="Times New Roman" w:hAnsi="Times New Roman"/>
                <w:sz w:val="24"/>
              </w:rPr>
              <w:t xml:space="preserve">наказу Міністерства аграрної політики та продовольства України від 01.08.2014 року № 288 «Про затвердження Правил заповнення, зберігання, списання ветеринарних документів та вимог до їх обліку», </w:t>
            </w:r>
            <w:r w:rsidRPr="00CC1640">
              <w:rPr>
                <w:rFonts w:ascii="Times New Roman" w:hAnsi="Times New Roman"/>
                <w:sz w:val="24"/>
              </w:rPr>
              <w:t>Постанови Кабінету Міністрів України «Про затвердження Правил транспортування тварин», організаційно-методичних рекомендацій та санітарних правил МОЗ України, нормативних актів, постанов, методичних рекомендацій та наказів Державної служби з питань безпечності харчових продуктів та захисту споживачів та її територіальних органів, виданих в межах компетенції, а також інших актів законодавства України та міжнародних актів, згода на обов’язковість яких дана Україною.</w:t>
            </w:r>
          </w:p>
          <w:p w:rsidR="005413FF" w:rsidRPr="005413FF" w:rsidRDefault="005413FF" w:rsidP="005413FF">
            <w:pPr>
              <w:pStyle w:val="10"/>
              <w:tabs>
                <w:tab w:val="center" w:pos="567"/>
                <w:tab w:val="center" w:pos="851"/>
                <w:tab w:val="center" w:pos="1134"/>
                <w:tab w:val="left" w:pos="2977"/>
                <w:tab w:val="left" w:pos="3052"/>
                <w:tab w:val="left" w:pos="3119"/>
                <w:tab w:val="left" w:pos="3402"/>
              </w:tabs>
              <w:ind w:firstLine="567"/>
              <w:jc w:val="both"/>
              <w:rPr>
                <w:b/>
                <w:bCs/>
              </w:rPr>
            </w:pPr>
            <w:r w:rsidRPr="00832D94">
              <w:rPr>
                <w:lang w:eastAsia="ru-RU"/>
              </w:rPr>
              <w:t xml:space="preserve">Відповідно </w:t>
            </w:r>
            <w:r>
              <w:rPr>
                <w:lang w:eastAsia="ru-RU"/>
              </w:rPr>
              <w:t xml:space="preserve">до </w:t>
            </w:r>
            <w:r w:rsidRPr="00867FF8">
              <w:rPr>
                <w:lang w:eastAsia="ru-RU"/>
              </w:rPr>
              <w:t>пп. 3 п. 3 розділу ІІ Положення про кінологічне забезпечення в Державній митній службі України, затвердженого Наказом Міністерства фінансів України від 10.03.2021 № 148  «Про кінологічне забезпечення в Д</w:t>
            </w:r>
            <w:r>
              <w:rPr>
                <w:lang w:eastAsia="ru-RU"/>
              </w:rPr>
              <w:t xml:space="preserve">ержавній митній службі України», </w:t>
            </w:r>
            <w:r w:rsidRPr="00F75403">
              <w:t>ветеринарне обслуговування службових собак здійснюється ветеринарним медичним закладом на підставі договору, укладеного між митницею Держмитслужби та таким закладом.</w:t>
            </w:r>
          </w:p>
          <w:p w:rsidR="003616C2" w:rsidRPr="00FD6CDF" w:rsidRDefault="003616C2" w:rsidP="003616C2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</w:rPr>
            </w:pPr>
            <w:r w:rsidRPr="00CC1640">
              <w:rPr>
                <w:rFonts w:ascii="Times New Roman" w:hAnsi="Times New Roman"/>
                <w:sz w:val="24"/>
              </w:rPr>
              <w:t>Надання послуг повинно базуватися на принципах гуманності та захисту тварин від жорстокого поводження, що регулюється чинним законодавством України.</w:t>
            </w:r>
          </w:p>
          <w:p w:rsidR="003616C2" w:rsidRDefault="003616C2" w:rsidP="003616C2">
            <w:pPr>
              <w:pStyle w:val="Standard"/>
              <w:ind w:left="32"/>
              <w:jc w:val="both"/>
              <w:rPr>
                <w:rFonts w:cs="Times New Roman"/>
                <w:lang w:val="uk-UA"/>
              </w:rPr>
            </w:pPr>
            <w:proofErr w:type="spellStart"/>
            <w:r>
              <w:rPr>
                <w:rFonts w:cs="Times New Roman"/>
              </w:rPr>
              <w:t>При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наданні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Послуг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Виконавець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Учасник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повинен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lastRenderedPageBreak/>
              <w:t>забезпечити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використання</w:t>
            </w:r>
            <w:proofErr w:type="spellEnd"/>
            <w:r w:rsidRPr="003100E4">
              <w:rPr>
                <w:rFonts w:cs="Times New Roman"/>
              </w:rPr>
              <w:t xml:space="preserve"> </w:t>
            </w:r>
            <w:proofErr w:type="spellStart"/>
            <w:r w:rsidRPr="003100E4">
              <w:rPr>
                <w:rFonts w:cs="Times New Roman"/>
              </w:rPr>
              <w:t>якісних</w:t>
            </w:r>
            <w:proofErr w:type="spellEnd"/>
            <w:r w:rsidRPr="003100E4">
              <w:rPr>
                <w:rFonts w:cs="Times New Roman"/>
              </w:rPr>
              <w:t xml:space="preserve"> </w:t>
            </w:r>
            <w:proofErr w:type="spellStart"/>
            <w:r w:rsidRPr="003100E4">
              <w:rPr>
                <w:rFonts w:cs="Times New Roman"/>
              </w:rPr>
              <w:t>власних</w:t>
            </w:r>
            <w:proofErr w:type="spellEnd"/>
            <w:r w:rsidRPr="003100E4">
              <w:rPr>
                <w:rFonts w:cs="Times New Roman"/>
              </w:rPr>
              <w:t xml:space="preserve"> </w:t>
            </w:r>
            <w:proofErr w:type="spellStart"/>
            <w:r w:rsidRPr="003100E4">
              <w:rPr>
                <w:rFonts w:cs="Times New Roman"/>
              </w:rPr>
              <w:t>ветеринарних</w:t>
            </w:r>
            <w:proofErr w:type="spellEnd"/>
            <w:r w:rsidRPr="007169FB">
              <w:t xml:space="preserve"> </w:t>
            </w:r>
            <w:proofErr w:type="spellStart"/>
            <w:r>
              <w:t>препаратів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медичних</w:t>
            </w:r>
            <w:proofErr w:type="spellEnd"/>
            <w:r>
              <w:t xml:space="preserve"> </w:t>
            </w:r>
            <w:proofErr w:type="spellStart"/>
            <w:r>
              <w:t>лікарських</w:t>
            </w:r>
            <w:proofErr w:type="spellEnd"/>
            <w:r>
              <w:t xml:space="preserve"> </w:t>
            </w:r>
            <w:proofErr w:type="spellStart"/>
            <w:r>
              <w:t>засобів</w:t>
            </w:r>
            <w:proofErr w:type="spellEnd"/>
            <w:r>
              <w:rPr>
                <w:lang w:val="uk-UA"/>
              </w:rPr>
              <w:t>.</w:t>
            </w:r>
            <w:r w:rsidR="00873F6B">
              <w:rPr>
                <w:rFonts w:cs="Times New Roman"/>
                <w:lang w:val="uk-UA"/>
              </w:rPr>
              <w:t xml:space="preserve">     </w:t>
            </w:r>
          </w:p>
          <w:p w:rsidR="0052423C" w:rsidRPr="00710005" w:rsidRDefault="00873F6B" w:rsidP="003616C2">
            <w:pPr>
              <w:pStyle w:val="Standard"/>
              <w:ind w:left="32"/>
              <w:jc w:val="both"/>
              <w:rPr>
                <w:lang w:val="uk-UA"/>
              </w:rPr>
            </w:pPr>
            <w:r>
              <w:rPr>
                <w:rFonts w:cs="Times New Roman"/>
                <w:lang w:val="uk-UA"/>
              </w:rPr>
              <w:t>Інші технічні, якісні характеристики предмету</w:t>
            </w:r>
            <w:r w:rsidR="00D40A29">
              <w:rPr>
                <w:rFonts w:cs="Times New Roman"/>
                <w:lang w:val="uk-UA"/>
              </w:rPr>
              <w:t xml:space="preserve"> закупівлі зазначені в Додатку 5</w:t>
            </w:r>
            <w:r>
              <w:rPr>
                <w:rFonts w:cs="Times New Roman"/>
                <w:lang w:val="uk-UA"/>
              </w:rPr>
              <w:t xml:space="preserve"> до Ого</w:t>
            </w:r>
            <w:r w:rsidR="007F4441">
              <w:rPr>
                <w:rFonts w:cs="Times New Roman"/>
                <w:lang w:val="uk-UA"/>
              </w:rPr>
              <w:t>лошення про проведення відкритих торгів з особливостями</w:t>
            </w:r>
            <w:r>
              <w:rPr>
                <w:rFonts w:cs="Times New Roman"/>
                <w:lang w:val="uk-UA"/>
              </w:rPr>
              <w:t>.</w:t>
            </w:r>
            <w:bookmarkStart w:id="0" w:name="_GoBack"/>
            <w:bookmarkEnd w:id="0"/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F36BB0" w:rsidP="00A52A66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89 990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3616C2" w:rsidRPr="00AA5795" w:rsidRDefault="003616C2" w:rsidP="003616C2">
            <w:pPr>
              <w:pStyle w:val="Standard"/>
              <w:jc w:val="both"/>
              <w:rPr>
                <w:bCs/>
                <w:lang w:val="uk-UA"/>
              </w:rPr>
            </w:pPr>
            <w:r w:rsidRPr="00AA5795">
              <w:t xml:space="preserve">     </w:t>
            </w:r>
            <w:proofErr w:type="spellStart"/>
            <w:r w:rsidRPr="00AA5795">
              <w:t>За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умови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подання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заявки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на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проведення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закупівлі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відповідно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до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пропозицій</w:t>
            </w:r>
            <w:proofErr w:type="spellEnd"/>
            <w:r w:rsidRPr="00AA5795">
              <w:t xml:space="preserve">, </w:t>
            </w:r>
            <w:proofErr w:type="spellStart"/>
            <w:r w:rsidRPr="00AA5795">
              <w:t>які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були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надані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та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враховані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під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час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формування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бюджетного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запиту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на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відповідний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рік</w:t>
            </w:r>
            <w:proofErr w:type="spellEnd"/>
            <w:r w:rsidRPr="00AA5795">
              <w:t>.</w:t>
            </w:r>
          </w:p>
          <w:p w:rsidR="003616C2" w:rsidRPr="00AA5795" w:rsidRDefault="003616C2" w:rsidP="00361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795">
              <w:rPr>
                <w:rFonts w:ascii="Times New Roman" w:hAnsi="Times New Roman"/>
                <w:sz w:val="24"/>
                <w:szCs w:val="24"/>
              </w:rPr>
              <w:t>Визначення очікуваної вартості предмета закупівлі обумовлено статистичним аналізом</w:t>
            </w:r>
            <w:r w:rsidRPr="00AA5795">
              <w:rPr>
                <w:sz w:val="24"/>
                <w:szCs w:val="24"/>
              </w:rPr>
              <w:t xml:space="preserve"> </w:t>
            </w:r>
            <w:r w:rsidRPr="00AA5795">
              <w:rPr>
                <w:rFonts w:ascii="Times New Roman" w:hAnsi="Times New Roman"/>
                <w:sz w:val="24"/>
                <w:szCs w:val="24"/>
              </w:rPr>
      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 та </w:t>
            </w:r>
            <w:r w:rsidRPr="00AA5795">
              <w:rPr>
                <w:rFonts w:ascii="Times New Roman" w:hAnsi="Times New Roman"/>
              </w:rPr>
              <w:t>методом цін відповідних закупівель минулих періодів (укладених договорів)</w:t>
            </w:r>
            <w:r>
              <w:rPr>
                <w:rFonts w:ascii="Times New Roman" w:hAnsi="Times New Roman"/>
              </w:rPr>
              <w:t xml:space="preserve"> аналогічних/ідентичних </w:t>
            </w:r>
            <w:r w:rsidRPr="00AA5795">
              <w:rPr>
                <w:rFonts w:ascii="Times New Roman" w:hAnsi="Times New Roman"/>
              </w:rPr>
              <w:t>послуг</w:t>
            </w:r>
            <w:r w:rsidRPr="00AA579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A37B4" w:rsidRPr="00B53C85" w:rsidRDefault="003616C2" w:rsidP="005413FF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A5795">
              <w:rPr>
                <w:rFonts w:ascii="Times New Roman" w:hAnsi="Times New Roman"/>
                <w:bCs/>
                <w:sz w:val="24"/>
                <w:szCs w:val="24"/>
              </w:rPr>
              <w:t>Розмір бюджетного призначення для предмета закупівлі відповідає розрахунку видатків до кошторису на 202</w:t>
            </w:r>
            <w:r w:rsidR="00F36BB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6</w:t>
            </w:r>
            <w:r w:rsidRPr="00AA5795">
              <w:rPr>
                <w:rFonts w:ascii="Times New Roman" w:hAnsi="Times New Roman"/>
                <w:bCs/>
                <w:sz w:val="24"/>
                <w:szCs w:val="24"/>
              </w:rPr>
              <w:t xml:space="preserve"> рік Київської митниці за КЕКВ 2240.</w:t>
            </w:r>
          </w:p>
        </w:tc>
      </w:tr>
    </w:tbl>
    <w:p w:rsidR="008559CE" w:rsidRDefault="008559CE" w:rsidP="008559CE">
      <w:pPr>
        <w:pStyle w:val="Default"/>
        <w:jc w:val="both"/>
      </w:pPr>
    </w:p>
    <w:p w:rsidR="003616C2" w:rsidRDefault="003616C2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3616C2" w:rsidRDefault="003616C2" w:rsidP="008559CE">
      <w:pPr>
        <w:pStyle w:val="Default"/>
        <w:jc w:val="both"/>
      </w:pPr>
    </w:p>
    <w:p w:rsidR="005413FF" w:rsidRDefault="005413FF" w:rsidP="006A3919">
      <w:pPr>
        <w:pStyle w:val="Default"/>
        <w:jc w:val="both"/>
      </w:pPr>
      <w:r>
        <w:t xml:space="preserve">Начальник </w:t>
      </w:r>
      <w:proofErr w:type="spellStart"/>
      <w:r>
        <w:t>господарсько-</w:t>
      </w:r>
      <w:proofErr w:type="spellEnd"/>
    </w:p>
    <w:p w:rsidR="005413FF" w:rsidRDefault="005413FF" w:rsidP="006A3919">
      <w:pPr>
        <w:pStyle w:val="Default"/>
        <w:jc w:val="both"/>
      </w:pPr>
      <w:r>
        <w:t>експлуатаційного відділу</w:t>
      </w:r>
    </w:p>
    <w:p w:rsidR="005413FF" w:rsidRDefault="005413FF" w:rsidP="006A3919">
      <w:pPr>
        <w:pStyle w:val="Default"/>
        <w:jc w:val="both"/>
      </w:pPr>
      <w:r>
        <w:t xml:space="preserve">управління </w:t>
      </w:r>
      <w:proofErr w:type="spellStart"/>
      <w:r>
        <w:t>адміністративно-</w:t>
      </w:r>
      <w:proofErr w:type="spellEnd"/>
    </w:p>
    <w:p w:rsidR="006A3919" w:rsidRPr="00264067" w:rsidRDefault="005413FF" w:rsidP="006A3919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8559CE" w:rsidRPr="00264067" w:rsidRDefault="008559CE" w:rsidP="008559CE">
      <w:pPr>
        <w:pStyle w:val="Default"/>
        <w:jc w:val="both"/>
      </w:pP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32E" w:rsidRDefault="00C4132E">
      <w:pPr>
        <w:spacing w:line="240" w:lineRule="auto"/>
      </w:pPr>
      <w:r>
        <w:separator/>
      </w:r>
    </w:p>
  </w:endnote>
  <w:endnote w:type="continuationSeparator" w:id="0">
    <w:p w:rsidR="00C4132E" w:rsidRDefault="00C4132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32E" w:rsidRDefault="00C4132E">
      <w:pPr>
        <w:spacing w:line="240" w:lineRule="auto"/>
      </w:pPr>
      <w:r>
        <w:separator/>
      </w:r>
    </w:p>
  </w:footnote>
  <w:footnote w:type="continuationSeparator" w:id="0">
    <w:p w:rsidR="00C4132E" w:rsidRDefault="00C413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611F7"/>
    <w:rsid w:val="0006189B"/>
    <w:rsid w:val="00066D2F"/>
    <w:rsid w:val="00093AE1"/>
    <w:rsid w:val="000B0065"/>
    <w:rsid w:val="000D4DE0"/>
    <w:rsid w:val="000D4F53"/>
    <w:rsid w:val="000D66C6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F74C8"/>
    <w:rsid w:val="00211FFE"/>
    <w:rsid w:val="0023552F"/>
    <w:rsid w:val="002D2AC5"/>
    <w:rsid w:val="002F3886"/>
    <w:rsid w:val="00316C87"/>
    <w:rsid w:val="00327DD8"/>
    <w:rsid w:val="00344B5B"/>
    <w:rsid w:val="0035353A"/>
    <w:rsid w:val="00353892"/>
    <w:rsid w:val="003616C2"/>
    <w:rsid w:val="00382C8F"/>
    <w:rsid w:val="003902BB"/>
    <w:rsid w:val="003A37B4"/>
    <w:rsid w:val="003B53B3"/>
    <w:rsid w:val="003C0E29"/>
    <w:rsid w:val="003E229A"/>
    <w:rsid w:val="003E7B9D"/>
    <w:rsid w:val="00426F2D"/>
    <w:rsid w:val="0044463B"/>
    <w:rsid w:val="0046041A"/>
    <w:rsid w:val="0047247B"/>
    <w:rsid w:val="00480354"/>
    <w:rsid w:val="00492F5C"/>
    <w:rsid w:val="00497678"/>
    <w:rsid w:val="004C4FAB"/>
    <w:rsid w:val="005108FA"/>
    <w:rsid w:val="005141A4"/>
    <w:rsid w:val="0052423C"/>
    <w:rsid w:val="00525609"/>
    <w:rsid w:val="00534DCA"/>
    <w:rsid w:val="005413FF"/>
    <w:rsid w:val="0054239F"/>
    <w:rsid w:val="0055380F"/>
    <w:rsid w:val="0056683F"/>
    <w:rsid w:val="005720E4"/>
    <w:rsid w:val="0059489B"/>
    <w:rsid w:val="005A21BD"/>
    <w:rsid w:val="005B4276"/>
    <w:rsid w:val="005C13D7"/>
    <w:rsid w:val="00615E2C"/>
    <w:rsid w:val="00626A2F"/>
    <w:rsid w:val="006314DA"/>
    <w:rsid w:val="006331FF"/>
    <w:rsid w:val="00670888"/>
    <w:rsid w:val="006712B5"/>
    <w:rsid w:val="00695622"/>
    <w:rsid w:val="006A3919"/>
    <w:rsid w:val="006A3DE5"/>
    <w:rsid w:val="006C356C"/>
    <w:rsid w:val="006D6A52"/>
    <w:rsid w:val="006D6D74"/>
    <w:rsid w:val="006F1184"/>
    <w:rsid w:val="00702B9B"/>
    <w:rsid w:val="00710005"/>
    <w:rsid w:val="00717590"/>
    <w:rsid w:val="00735A6C"/>
    <w:rsid w:val="00750B0B"/>
    <w:rsid w:val="00752D37"/>
    <w:rsid w:val="0077382A"/>
    <w:rsid w:val="00785B35"/>
    <w:rsid w:val="00791115"/>
    <w:rsid w:val="00791B6F"/>
    <w:rsid w:val="0079378A"/>
    <w:rsid w:val="007A31BE"/>
    <w:rsid w:val="007B16C5"/>
    <w:rsid w:val="007D06E3"/>
    <w:rsid w:val="007F4441"/>
    <w:rsid w:val="00800BE1"/>
    <w:rsid w:val="0081328C"/>
    <w:rsid w:val="00821EC8"/>
    <w:rsid w:val="0082671D"/>
    <w:rsid w:val="008267D4"/>
    <w:rsid w:val="008458CE"/>
    <w:rsid w:val="00850410"/>
    <w:rsid w:val="008559CE"/>
    <w:rsid w:val="00861EF6"/>
    <w:rsid w:val="00873F6B"/>
    <w:rsid w:val="00880B4C"/>
    <w:rsid w:val="00895E1F"/>
    <w:rsid w:val="008C047E"/>
    <w:rsid w:val="008C4004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C2252"/>
    <w:rsid w:val="009D43D9"/>
    <w:rsid w:val="009D6DBD"/>
    <w:rsid w:val="00A474D7"/>
    <w:rsid w:val="00A52A66"/>
    <w:rsid w:val="00A71946"/>
    <w:rsid w:val="00A900DF"/>
    <w:rsid w:val="00A90FD7"/>
    <w:rsid w:val="00AA60A9"/>
    <w:rsid w:val="00AB1543"/>
    <w:rsid w:val="00AB6153"/>
    <w:rsid w:val="00AE0A72"/>
    <w:rsid w:val="00AF6447"/>
    <w:rsid w:val="00AF6903"/>
    <w:rsid w:val="00B21403"/>
    <w:rsid w:val="00B36B20"/>
    <w:rsid w:val="00B3768D"/>
    <w:rsid w:val="00B53C85"/>
    <w:rsid w:val="00B541BA"/>
    <w:rsid w:val="00B5683C"/>
    <w:rsid w:val="00BC6097"/>
    <w:rsid w:val="00BD5407"/>
    <w:rsid w:val="00BD58BF"/>
    <w:rsid w:val="00BE2287"/>
    <w:rsid w:val="00C106A8"/>
    <w:rsid w:val="00C121B4"/>
    <w:rsid w:val="00C345E8"/>
    <w:rsid w:val="00C4132E"/>
    <w:rsid w:val="00C4194A"/>
    <w:rsid w:val="00C41F65"/>
    <w:rsid w:val="00C46E8E"/>
    <w:rsid w:val="00C758C2"/>
    <w:rsid w:val="00C85A9F"/>
    <w:rsid w:val="00CC3F49"/>
    <w:rsid w:val="00CE1A06"/>
    <w:rsid w:val="00CF196E"/>
    <w:rsid w:val="00CF1D65"/>
    <w:rsid w:val="00D31398"/>
    <w:rsid w:val="00D407F5"/>
    <w:rsid w:val="00D40A29"/>
    <w:rsid w:val="00D64230"/>
    <w:rsid w:val="00DE1144"/>
    <w:rsid w:val="00DF3088"/>
    <w:rsid w:val="00E14933"/>
    <w:rsid w:val="00E340B0"/>
    <w:rsid w:val="00E71020"/>
    <w:rsid w:val="00E9779C"/>
    <w:rsid w:val="00EA072D"/>
    <w:rsid w:val="00EE3D0D"/>
    <w:rsid w:val="00F36BB0"/>
    <w:rsid w:val="00F6329F"/>
    <w:rsid w:val="00F70110"/>
    <w:rsid w:val="00F81167"/>
    <w:rsid w:val="00FB3029"/>
    <w:rsid w:val="00FD52E2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paragraph" w:customStyle="1" w:styleId="10">
    <w:name w:val="Абзац списка1"/>
    <w:basedOn w:val="a"/>
    <w:link w:val="ListParagraphChar"/>
    <w:rsid w:val="005413FF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ListParagraphChar">
    <w:name w:val="List Paragraph Char"/>
    <w:link w:val="10"/>
    <w:locked/>
    <w:rsid w:val="005413FF"/>
    <w:rPr>
      <w:rFonts w:eastAsia="Times New Roman"/>
      <w:sz w:val="24"/>
      <w:szCs w:val="24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6-02-16-001844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2535</Words>
  <Characters>1446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10</cp:revision>
  <cp:lastPrinted>2026-02-16T08:19:00Z</cp:lastPrinted>
  <dcterms:created xsi:type="dcterms:W3CDTF">2023-04-03T12:29:00Z</dcterms:created>
  <dcterms:modified xsi:type="dcterms:W3CDTF">2026-02-16T08:19:00Z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