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39EAE" w14:textId="77777777" w:rsidR="00752556" w:rsidRDefault="007231ED">
      <w:pPr>
        <w:widowControl w:val="0"/>
        <w:spacing w:before="74" w:after="0" w:line="240" w:lineRule="auto"/>
        <w:ind w:left="10067"/>
        <w:rPr>
          <w:rFonts w:ascii="Times New Roman" w:eastAsia="Times New Roman" w:hAnsi="Times New Roman" w:cs="Times New Roman"/>
          <w:sz w:val="24"/>
          <w:szCs w:val="24"/>
        </w:rPr>
      </w:pPr>
      <w:r>
        <w:rPr>
          <w:rFonts w:ascii="Times New Roman" w:eastAsia="Times New Roman" w:hAnsi="Times New Roman" w:cs="Times New Roman"/>
          <w:sz w:val="24"/>
          <w:szCs w:val="24"/>
        </w:rPr>
        <w:t>ЗАТВЕРДЖЕНО</w:t>
      </w:r>
    </w:p>
    <w:p w14:paraId="6ACB4363" w14:textId="77777777" w:rsidR="00752556" w:rsidRDefault="007231ED">
      <w:pPr>
        <w:widowControl w:val="0"/>
        <w:spacing w:before="3" w:after="0" w:line="276" w:lineRule="auto"/>
        <w:ind w:left="10067"/>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засіданні Комітету з питань логістики та міжнародних перевезень Громадської ради</w:t>
      </w:r>
    </w:p>
    <w:p w14:paraId="12E5266D" w14:textId="77777777" w:rsidR="00752556" w:rsidRDefault="007231ED">
      <w:pPr>
        <w:widowControl w:val="0"/>
        <w:spacing w:after="0" w:line="276" w:lineRule="auto"/>
        <w:ind w:left="10067" w:right="659"/>
        <w:rPr>
          <w:rFonts w:ascii="Times New Roman" w:eastAsia="Times New Roman" w:hAnsi="Times New Roman" w:cs="Times New Roman"/>
          <w:sz w:val="24"/>
          <w:szCs w:val="24"/>
        </w:rPr>
      </w:pPr>
      <w:r>
        <w:rPr>
          <w:rFonts w:ascii="Times New Roman" w:eastAsia="Times New Roman" w:hAnsi="Times New Roman" w:cs="Times New Roman"/>
          <w:sz w:val="24"/>
          <w:szCs w:val="24"/>
        </w:rPr>
        <w:t>при Державній митній службі України</w:t>
      </w:r>
    </w:p>
    <w:p w14:paraId="7BFFE801" w14:textId="77777777" w:rsidR="00752556" w:rsidRDefault="00752556">
      <w:pPr>
        <w:widowControl w:val="0"/>
        <w:spacing w:after="0" w:line="276" w:lineRule="auto"/>
        <w:ind w:left="10067" w:right="659"/>
        <w:rPr>
          <w:rFonts w:ascii="Times New Roman" w:eastAsia="Times New Roman" w:hAnsi="Times New Roman" w:cs="Times New Roman"/>
          <w:b/>
          <w:bCs/>
          <w:sz w:val="24"/>
          <w:szCs w:val="24"/>
        </w:rPr>
      </w:pPr>
    </w:p>
    <w:p w14:paraId="23746859" w14:textId="77777777" w:rsidR="00752556" w:rsidRDefault="007231ED">
      <w:pPr>
        <w:widowControl w:val="0"/>
        <w:spacing w:before="320" w:after="0" w:line="360" w:lineRule="auto"/>
        <w:ind w:left="1" w:right="14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План роботи</w:t>
      </w:r>
    </w:p>
    <w:p w14:paraId="43D3ED15" w14:textId="77777777" w:rsidR="00752556" w:rsidRDefault="007231ED">
      <w:pPr>
        <w:widowControl w:val="0"/>
        <w:spacing w:after="0" w:line="360" w:lineRule="auto"/>
        <w:ind w:right="14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Комітету з питань логістики та міжнародних перевезень</w:t>
      </w:r>
    </w:p>
    <w:p w14:paraId="343B14CC" w14:textId="77777777" w:rsidR="00752556" w:rsidRDefault="007231ED">
      <w:pPr>
        <w:widowControl w:val="0"/>
        <w:spacing w:before="2" w:after="0" w:line="360" w:lineRule="auto"/>
        <w:ind w:right="143"/>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Громадської ради при Державній митній службі України на 2026 рік </w:t>
      </w:r>
    </w:p>
    <w:p w14:paraId="5999AB9A" w14:textId="77777777" w:rsidR="00752556" w:rsidRDefault="00752556">
      <w:pPr>
        <w:spacing w:after="0" w:line="240" w:lineRule="auto"/>
        <w:rPr>
          <w:rFonts w:ascii="Times New Roman" w:eastAsia="Times New Roman" w:hAnsi="Times New Roman" w:cs="Times New Roman"/>
          <w:sz w:val="24"/>
          <w:szCs w:val="24"/>
        </w:rPr>
      </w:pPr>
    </w:p>
    <w:tbl>
      <w:tblPr>
        <w:tblStyle w:val="af0"/>
        <w:tblpPr w:leftFromText="180" w:rightFromText="180" w:vertAnchor="text" w:tblpY="1"/>
        <w:tblW w:w="153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416"/>
        <w:gridCol w:w="1984"/>
        <w:gridCol w:w="1985"/>
        <w:gridCol w:w="5244"/>
      </w:tblGrid>
      <w:tr w:rsidR="00752556" w14:paraId="78A26E38" w14:textId="77777777">
        <w:trPr>
          <w:trHeight w:val="285"/>
        </w:trPr>
        <w:tc>
          <w:tcPr>
            <w:tcW w:w="675" w:type="dxa"/>
            <w:tcMar>
              <w:top w:w="0" w:type="dxa"/>
              <w:bottom w:w="0" w:type="dxa"/>
            </w:tcMar>
            <w:vAlign w:val="center"/>
          </w:tcPr>
          <w:p w14:paraId="77591672" w14:textId="77777777" w:rsidR="00752556" w:rsidRDefault="007231ED">
            <w:pPr>
              <w:spacing w:after="0" w:line="240" w:lineRule="auto"/>
              <w:jc w:val="center"/>
              <w:rPr>
                <w:rFonts w:ascii="Times New Roman" w:eastAsia="Times New Roman" w:hAnsi="Times New Roman" w:cs="Times New Roman"/>
                <w:b/>
                <w:bCs/>
                <w:sz w:val="24"/>
                <w:szCs w:val="24"/>
              </w:rPr>
            </w:pPr>
            <w:bookmarkStart w:id="0" w:name="_heading=h.gjdgxs" w:colFirst="0" w:colLast="0"/>
            <w:bookmarkEnd w:id="0"/>
            <w:r>
              <w:rPr>
                <w:rFonts w:ascii="Times New Roman" w:eastAsia="Times New Roman" w:hAnsi="Times New Roman" w:cs="Times New Roman"/>
                <w:b/>
                <w:bCs/>
                <w:sz w:val="24"/>
                <w:szCs w:val="24"/>
              </w:rPr>
              <w:t>№ з/п</w:t>
            </w:r>
          </w:p>
        </w:tc>
        <w:tc>
          <w:tcPr>
            <w:tcW w:w="5416" w:type="dxa"/>
            <w:tcMar>
              <w:top w:w="0" w:type="dxa"/>
              <w:bottom w:w="0" w:type="dxa"/>
            </w:tcMar>
            <w:vAlign w:val="center"/>
          </w:tcPr>
          <w:p w14:paraId="2FBF1C02" w14:textId="77777777" w:rsidR="00752556" w:rsidRDefault="007231ED">
            <w:pPr>
              <w:widowControl w:val="0"/>
              <w:spacing w:before="135" w:after="0" w:line="240" w:lineRule="auto"/>
              <w:ind w:left="1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Зміст заходу</w:t>
            </w:r>
          </w:p>
        </w:tc>
        <w:tc>
          <w:tcPr>
            <w:tcW w:w="1984" w:type="dxa"/>
            <w:tcMar>
              <w:top w:w="0" w:type="dxa"/>
              <w:bottom w:w="0" w:type="dxa"/>
            </w:tcMar>
            <w:vAlign w:val="center"/>
          </w:tcPr>
          <w:p w14:paraId="51A257A9" w14:textId="77777777" w:rsidR="00752556" w:rsidRDefault="007231E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Термін виконання</w:t>
            </w:r>
          </w:p>
        </w:tc>
        <w:tc>
          <w:tcPr>
            <w:tcW w:w="1985" w:type="dxa"/>
            <w:tcMar>
              <w:top w:w="0" w:type="dxa"/>
              <w:bottom w:w="0" w:type="dxa"/>
            </w:tcMar>
            <w:vAlign w:val="center"/>
          </w:tcPr>
          <w:p w14:paraId="5C09CD8D" w14:textId="77777777" w:rsidR="00752556" w:rsidRDefault="007231E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Відповідальні виконавці</w:t>
            </w:r>
          </w:p>
        </w:tc>
        <w:tc>
          <w:tcPr>
            <w:tcW w:w="5244" w:type="dxa"/>
            <w:tcMar>
              <w:top w:w="0" w:type="dxa"/>
              <w:bottom w:w="0" w:type="dxa"/>
            </w:tcMar>
            <w:vAlign w:val="center"/>
          </w:tcPr>
          <w:p w14:paraId="7F1F8E48" w14:textId="77777777" w:rsidR="00752556" w:rsidRDefault="007231ED">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Очікуваний результат</w:t>
            </w:r>
          </w:p>
        </w:tc>
      </w:tr>
      <w:tr w:rsidR="00752556" w14:paraId="07ACAEE9" w14:textId="77777777">
        <w:trPr>
          <w:trHeight w:val="330"/>
        </w:trPr>
        <w:tc>
          <w:tcPr>
            <w:tcW w:w="675" w:type="dxa"/>
            <w:tcMar>
              <w:top w:w="0" w:type="dxa"/>
              <w:bottom w:w="0" w:type="dxa"/>
            </w:tcMar>
            <w:vAlign w:val="center"/>
          </w:tcPr>
          <w:p w14:paraId="0A6B432C"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16" w:type="dxa"/>
            <w:tcMar>
              <w:top w:w="0" w:type="dxa"/>
              <w:bottom w:w="0" w:type="dxa"/>
            </w:tcMar>
          </w:tcPr>
          <w:p w14:paraId="4FFCA6F5"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Розвиток електронного документообігу в морських портах </w:t>
            </w:r>
          </w:p>
        </w:tc>
        <w:tc>
          <w:tcPr>
            <w:tcW w:w="1984" w:type="dxa"/>
            <w:tcMar>
              <w:top w:w="0" w:type="dxa"/>
              <w:bottom w:w="0" w:type="dxa"/>
            </w:tcMar>
          </w:tcPr>
          <w:p w14:paraId="2A9DD2C8" w14:textId="77777777" w:rsidR="00752556" w:rsidRDefault="007231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протягом року</w:t>
            </w:r>
          </w:p>
        </w:tc>
        <w:tc>
          <w:tcPr>
            <w:tcW w:w="1985" w:type="dxa"/>
            <w:tcMar>
              <w:top w:w="0" w:type="dxa"/>
              <w:bottom w:w="0" w:type="dxa"/>
            </w:tcMar>
          </w:tcPr>
          <w:p w14:paraId="03AC0AF7" w14:textId="77777777" w:rsidR="00752556" w:rsidRDefault="007231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члени ради, </w:t>
            </w:r>
            <w:proofErr w:type="spellStart"/>
            <w:r>
              <w:rPr>
                <w:rFonts w:ascii="Times New Roman" w:eastAsia="Times New Roman" w:hAnsi="Times New Roman" w:cs="Times New Roman"/>
                <w:sz w:val="24"/>
                <w:szCs w:val="24"/>
              </w:rPr>
              <w:t>Берестенко</w:t>
            </w:r>
            <w:proofErr w:type="spellEnd"/>
            <w:r>
              <w:rPr>
                <w:rFonts w:ascii="Times New Roman" w:eastAsia="Times New Roman" w:hAnsi="Times New Roman" w:cs="Times New Roman"/>
                <w:sz w:val="24"/>
                <w:szCs w:val="24"/>
              </w:rPr>
              <w:t xml:space="preserve"> В.В.</w:t>
            </w:r>
          </w:p>
        </w:tc>
        <w:tc>
          <w:tcPr>
            <w:tcW w:w="5244" w:type="dxa"/>
            <w:tcMar>
              <w:top w:w="0" w:type="dxa"/>
              <w:bottom w:w="0" w:type="dxa"/>
            </w:tcMar>
            <w:vAlign w:val="center"/>
          </w:tcPr>
          <w:p w14:paraId="7A2D6411"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Прискорення обміну документами між митницею, АМПУ та бізнесом, зниження кількості помилок і дублювання операцій, покращення контролю над рухом вантажів.</w:t>
            </w:r>
          </w:p>
          <w:p w14:paraId="3A64E52D"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Підвищення ефективності портової логістики, скорочення часу обороту суден і вантажів, зменшення витрат на адміністрування та паперовий документообіг.</w:t>
            </w:r>
          </w:p>
          <w:p w14:paraId="4BB8B2B5"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єдиного цифрового простору для взаємодії всіх учасників ланцюга постачання, спрощення доступу до даних, масштабування цифрових сервісів на всі порти України.</w:t>
            </w:r>
          </w:p>
        </w:tc>
      </w:tr>
      <w:tr w:rsidR="00752556" w14:paraId="67CFD969" w14:textId="77777777">
        <w:trPr>
          <w:trHeight w:val="330"/>
        </w:trPr>
        <w:tc>
          <w:tcPr>
            <w:tcW w:w="675" w:type="dxa"/>
            <w:tcMar>
              <w:top w:w="0" w:type="dxa"/>
              <w:bottom w:w="0" w:type="dxa"/>
            </w:tcMar>
            <w:vAlign w:val="center"/>
          </w:tcPr>
          <w:p w14:paraId="06BEDC5E"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16" w:type="dxa"/>
            <w:tcMar>
              <w:top w:w="0" w:type="dxa"/>
              <w:bottom w:w="0" w:type="dxa"/>
            </w:tcMar>
          </w:tcPr>
          <w:p w14:paraId="6318ACB5"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Впровадження ефективних механізмів реалізації статті 325 Митного кодексу України (відшкодування витрат за результатом призначенням та проведенням форм митного контролю за ініціативою контролюючих та правоохоронних органів).</w:t>
            </w:r>
          </w:p>
        </w:tc>
        <w:tc>
          <w:tcPr>
            <w:tcW w:w="1984" w:type="dxa"/>
            <w:tcMar>
              <w:top w:w="0" w:type="dxa"/>
              <w:bottom w:w="0" w:type="dxa"/>
            </w:tcMar>
          </w:tcPr>
          <w:p w14:paraId="44A67C30" w14:textId="77777777" w:rsidR="00752556" w:rsidRDefault="007231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протягом року</w:t>
            </w:r>
          </w:p>
        </w:tc>
        <w:tc>
          <w:tcPr>
            <w:tcW w:w="1985" w:type="dxa"/>
            <w:tcMar>
              <w:top w:w="0" w:type="dxa"/>
              <w:bottom w:w="0" w:type="dxa"/>
            </w:tcMar>
          </w:tcPr>
          <w:p w14:paraId="41F70E83" w14:textId="77777777" w:rsidR="00752556" w:rsidRDefault="007231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члени ради, </w:t>
            </w:r>
            <w:proofErr w:type="spellStart"/>
            <w:r>
              <w:rPr>
                <w:rFonts w:ascii="Times New Roman" w:eastAsia="Times New Roman" w:hAnsi="Times New Roman" w:cs="Times New Roman"/>
                <w:sz w:val="24"/>
                <w:szCs w:val="24"/>
              </w:rPr>
              <w:t>Берестенко</w:t>
            </w:r>
            <w:proofErr w:type="spellEnd"/>
            <w:r>
              <w:rPr>
                <w:rFonts w:ascii="Times New Roman" w:eastAsia="Times New Roman" w:hAnsi="Times New Roman" w:cs="Times New Roman"/>
                <w:sz w:val="24"/>
                <w:szCs w:val="24"/>
              </w:rPr>
              <w:t xml:space="preserve"> В.В.</w:t>
            </w:r>
          </w:p>
        </w:tc>
        <w:tc>
          <w:tcPr>
            <w:tcW w:w="5244" w:type="dxa"/>
            <w:tcMar>
              <w:top w:w="0" w:type="dxa"/>
              <w:bottom w:w="0" w:type="dxa"/>
            </w:tcMar>
            <w:vAlign w:val="center"/>
          </w:tcPr>
          <w:p w14:paraId="3DF47F99"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Наявність можливості відшкодування витрат  за результатом призначенням та проведенням форм митного контролю за ініціативою контролюючих та правоохоронних органів, у свою чергу дозволить суб’єктам господарювання значно зменшити свої непередбачені/необґрунтовані витрати та нарощувати вантажопотоки у морських портах України.</w:t>
            </w:r>
          </w:p>
        </w:tc>
      </w:tr>
      <w:tr w:rsidR="00752556" w14:paraId="744E49BA" w14:textId="77777777">
        <w:trPr>
          <w:trHeight w:val="330"/>
        </w:trPr>
        <w:tc>
          <w:tcPr>
            <w:tcW w:w="675" w:type="dxa"/>
            <w:tcMar>
              <w:top w:w="0" w:type="dxa"/>
              <w:bottom w:w="0" w:type="dxa"/>
            </w:tcMar>
            <w:vAlign w:val="center"/>
          </w:tcPr>
          <w:p w14:paraId="2BD48044" w14:textId="77777777" w:rsidR="00752556" w:rsidRDefault="007231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416" w:type="dxa"/>
            <w:tcMar>
              <w:top w:w="0" w:type="dxa"/>
              <w:bottom w:w="0" w:type="dxa"/>
            </w:tcMar>
          </w:tcPr>
          <w:p w14:paraId="1249727E"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Питання особистої відповідальності митного декларанта (</w:t>
            </w:r>
            <w:proofErr w:type="spellStart"/>
            <w:r>
              <w:rPr>
                <w:rFonts w:ascii="Times New Roman" w:eastAsia="Times New Roman" w:hAnsi="Times New Roman" w:cs="Times New Roman"/>
                <w:sz w:val="24"/>
                <w:szCs w:val="24"/>
              </w:rPr>
              <w:t>агента</w:t>
            </w:r>
            <w:proofErr w:type="spellEnd"/>
            <w:r>
              <w:rPr>
                <w:rFonts w:ascii="Times New Roman" w:eastAsia="Times New Roman" w:hAnsi="Times New Roman" w:cs="Times New Roman"/>
                <w:sz w:val="24"/>
                <w:szCs w:val="24"/>
              </w:rPr>
              <w:t xml:space="preserve"> з митного оформлення) </w:t>
            </w:r>
            <w:r>
              <w:rPr>
                <w:rFonts w:ascii="Times New Roman" w:eastAsia="Times New Roman" w:hAnsi="Times New Roman" w:cs="Times New Roman"/>
                <w:sz w:val="24"/>
                <w:szCs w:val="24"/>
              </w:rPr>
              <w:lastRenderedPageBreak/>
              <w:t xml:space="preserve">відповідно до застарілого та неактуального але діючого законодавства (Митний кодекс України ст. 4, ст. 265, ст. 266, ст. 459, Кодекс України про Адміністративні правопорушення, Кримінальний кодекс України у разі </w:t>
            </w:r>
            <w:proofErr w:type="spellStart"/>
            <w:r>
              <w:rPr>
                <w:rFonts w:ascii="Times New Roman" w:eastAsia="Times New Roman" w:hAnsi="Times New Roman" w:cs="Times New Roman"/>
                <w:sz w:val="24"/>
                <w:szCs w:val="24"/>
              </w:rPr>
              <w:t>рекриминалізації</w:t>
            </w:r>
            <w:proofErr w:type="spellEnd"/>
            <w:r>
              <w:rPr>
                <w:rFonts w:ascii="Times New Roman" w:eastAsia="Times New Roman" w:hAnsi="Times New Roman" w:cs="Times New Roman"/>
                <w:sz w:val="24"/>
                <w:szCs w:val="24"/>
              </w:rPr>
              <w:t xml:space="preserve"> товарної контрабанди).</w:t>
            </w:r>
          </w:p>
        </w:tc>
        <w:tc>
          <w:tcPr>
            <w:tcW w:w="1984" w:type="dxa"/>
            <w:tcMar>
              <w:top w:w="0" w:type="dxa"/>
              <w:bottom w:w="0" w:type="dxa"/>
            </w:tcMar>
            <w:vAlign w:val="center"/>
          </w:tcPr>
          <w:p w14:paraId="26BA11AF"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протягом року</w:t>
            </w:r>
          </w:p>
        </w:tc>
        <w:tc>
          <w:tcPr>
            <w:tcW w:w="1985" w:type="dxa"/>
            <w:tcMar>
              <w:top w:w="0" w:type="dxa"/>
              <w:bottom w:w="0" w:type="dxa"/>
            </w:tcMar>
            <w:vAlign w:val="center"/>
          </w:tcPr>
          <w:p w14:paraId="4B452C1B"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члени ради, </w:t>
            </w:r>
            <w:proofErr w:type="spellStart"/>
            <w:r>
              <w:rPr>
                <w:rFonts w:ascii="Times New Roman" w:eastAsia="Times New Roman" w:hAnsi="Times New Roman" w:cs="Times New Roman"/>
                <w:sz w:val="24"/>
                <w:szCs w:val="24"/>
              </w:rPr>
              <w:t>Берестенко</w:t>
            </w:r>
            <w:proofErr w:type="spellEnd"/>
            <w:r>
              <w:rPr>
                <w:rFonts w:ascii="Times New Roman" w:eastAsia="Times New Roman" w:hAnsi="Times New Roman" w:cs="Times New Roman"/>
                <w:sz w:val="24"/>
                <w:szCs w:val="24"/>
              </w:rPr>
              <w:t xml:space="preserve"> В.В.</w:t>
            </w:r>
          </w:p>
        </w:tc>
        <w:tc>
          <w:tcPr>
            <w:tcW w:w="5244" w:type="dxa"/>
            <w:tcMar>
              <w:top w:w="0" w:type="dxa"/>
              <w:bottom w:w="0" w:type="dxa"/>
            </w:tcMar>
            <w:vAlign w:val="center"/>
          </w:tcPr>
          <w:p w14:paraId="37B9F73A" w14:textId="77777777" w:rsidR="00752556" w:rsidRDefault="007231E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 огляду на обсяг та характер стягнень, що накладаються на декларантів при порушенні </w:t>
            </w:r>
            <w:r>
              <w:rPr>
                <w:rFonts w:ascii="Times New Roman" w:eastAsia="Times New Roman" w:hAnsi="Times New Roman" w:cs="Times New Roman"/>
                <w:sz w:val="24"/>
                <w:szCs w:val="24"/>
              </w:rPr>
              <w:lastRenderedPageBreak/>
              <w:t>останніми митних правил, необхідним вбачається обговорення, розроблення та прийняття змін до чинного законодавства, зокрема до Митного кодексу України щодо зменшення розміру (об’єму) відповідальності  агентів (працівників) митного брокера (суб’єктів господарювання, що надають послуги митного брокера) та до Кодексу України про адміністративні правопорушення.</w:t>
            </w:r>
          </w:p>
        </w:tc>
      </w:tr>
      <w:tr w:rsidR="00752556" w14:paraId="14955DE0" w14:textId="77777777">
        <w:trPr>
          <w:trHeight w:val="330"/>
        </w:trPr>
        <w:tc>
          <w:tcPr>
            <w:tcW w:w="675" w:type="dxa"/>
            <w:tcMar>
              <w:top w:w="0" w:type="dxa"/>
              <w:bottom w:w="0" w:type="dxa"/>
            </w:tcMar>
            <w:vAlign w:val="center"/>
          </w:tcPr>
          <w:p w14:paraId="7A6F66B8"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5416" w:type="dxa"/>
            <w:tcMar>
              <w:top w:w="0" w:type="dxa"/>
              <w:bottom w:w="0" w:type="dxa"/>
            </w:tcMar>
          </w:tcPr>
          <w:p w14:paraId="1EC48E51"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Удосконалення митного законодавства, зокрема розробка оновленого Митного кодексу України</w:t>
            </w:r>
          </w:p>
        </w:tc>
        <w:tc>
          <w:tcPr>
            <w:tcW w:w="1984" w:type="dxa"/>
            <w:tcMar>
              <w:top w:w="0" w:type="dxa"/>
              <w:bottom w:w="0" w:type="dxa"/>
            </w:tcMar>
            <w:vAlign w:val="center"/>
          </w:tcPr>
          <w:p w14:paraId="75947B6F"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протягом року</w:t>
            </w:r>
          </w:p>
        </w:tc>
        <w:tc>
          <w:tcPr>
            <w:tcW w:w="1985" w:type="dxa"/>
            <w:tcMar>
              <w:top w:w="0" w:type="dxa"/>
              <w:bottom w:w="0" w:type="dxa"/>
            </w:tcMar>
            <w:vAlign w:val="center"/>
          </w:tcPr>
          <w:p w14:paraId="5C505280"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члени ради, </w:t>
            </w:r>
            <w:proofErr w:type="spellStart"/>
            <w:r>
              <w:rPr>
                <w:rFonts w:ascii="Times New Roman" w:eastAsia="Times New Roman" w:hAnsi="Times New Roman" w:cs="Times New Roman"/>
                <w:sz w:val="24"/>
                <w:szCs w:val="24"/>
              </w:rPr>
              <w:t>Берестенко</w:t>
            </w:r>
            <w:proofErr w:type="spellEnd"/>
            <w:r>
              <w:rPr>
                <w:rFonts w:ascii="Times New Roman" w:eastAsia="Times New Roman" w:hAnsi="Times New Roman" w:cs="Times New Roman"/>
                <w:sz w:val="24"/>
                <w:szCs w:val="24"/>
              </w:rPr>
              <w:t xml:space="preserve"> В.В.</w:t>
            </w:r>
          </w:p>
        </w:tc>
        <w:tc>
          <w:tcPr>
            <w:tcW w:w="5244" w:type="dxa"/>
            <w:tcMar>
              <w:top w:w="0" w:type="dxa"/>
              <w:bottom w:w="0" w:type="dxa"/>
            </w:tcMar>
            <w:vAlign w:val="center"/>
          </w:tcPr>
          <w:p w14:paraId="1079D809" w14:textId="77777777" w:rsidR="00752556" w:rsidRDefault="007231E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Підвищення прозорості та передбачуваності в роботі митних органів, зменшенню правових колізій і зловживань, а також наближенню українського митного законодавства до практик ЄС.</w:t>
            </w:r>
          </w:p>
          <w:p w14:paraId="2D619B73" w14:textId="77777777" w:rsidR="00752556" w:rsidRDefault="007231E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Зниження навантаження на систему завдяки чітким процедурам і зрозумілому регламенту дій, що мінімізує простір для дискреційних рішень посадових осіб.</w:t>
            </w:r>
          </w:p>
        </w:tc>
      </w:tr>
      <w:tr w:rsidR="00752556" w14:paraId="5DBB6549" w14:textId="77777777">
        <w:trPr>
          <w:trHeight w:val="330"/>
        </w:trPr>
        <w:tc>
          <w:tcPr>
            <w:tcW w:w="675" w:type="dxa"/>
            <w:tcMar>
              <w:top w:w="0" w:type="dxa"/>
              <w:bottom w:w="0" w:type="dxa"/>
            </w:tcMar>
            <w:vAlign w:val="center"/>
          </w:tcPr>
          <w:p w14:paraId="413F1EB6" w14:textId="77777777" w:rsidR="00752556" w:rsidRDefault="007231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416" w:type="dxa"/>
            <w:tcMar>
              <w:top w:w="0" w:type="dxa"/>
              <w:bottom w:w="0" w:type="dxa"/>
            </w:tcMar>
            <w:vAlign w:val="center"/>
          </w:tcPr>
          <w:p w14:paraId="2D89F8C5"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Моніторинг та аналітика роботи митних органів (Індекс ефективності ДМСУ в розрізі митниць)</w:t>
            </w:r>
          </w:p>
        </w:tc>
        <w:tc>
          <w:tcPr>
            <w:tcW w:w="1984" w:type="dxa"/>
            <w:tcMar>
              <w:top w:w="0" w:type="dxa"/>
              <w:bottom w:w="0" w:type="dxa"/>
            </w:tcMar>
            <w:vAlign w:val="center"/>
          </w:tcPr>
          <w:p w14:paraId="21197070"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протягом року</w:t>
            </w:r>
          </w:p>
        </w:tc>
        <w:tc>
          <w:tcPr>
            <w:tcW w:w="1985" w:type="dxa"/>
            <w:tcMar>
              <w:top w:w="0" w:type="dxa"/>
              <w:bottom w:w="0" w:type="dxa"/>
            </w:tcMar>
            <w:vAlign w:val="center"/>
          </w:tcPr>
          <w:p w14:paraId="67FB4E7A"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члени ради, </w:t>
            </w:r>
            <w:proofErr w:type="spellStart"/>
            <w:r>
              <w:rPr>
                <w:rFonts w:ascii="Times New Roman" w:eastAsia="Times New Roman" w:hAnsi="Times New Roman" w:cs="Times New Roman"/>
                <w:sz w:val="24"/>
                <w:szCs w:val="24"/>
              </w:rPr>
              <w:t>Берестенко</w:t>
            </w:r>
            <w:proofErr w:type="spellEnd"/>
            <w:r>
              <w:rPr>
                <w:rFonts w:ascii="Times New Roman" w:eastAsia="Times New Roman" w:hAnsi="Times New Roman" w:cs="Times New Roman"/>
                <w:sz w:val="24"/>
                <w:szCs w:val="24"/>
              </w:rPr>
              <w:t xml:space="preserve"> В.В.</w:t>
            </w:r>
          </w:p>
        </w:tc>
        <w:tc>
          <w:tcPr>
            <w:tcW w:w="5244" w:type="dxa"/>
            <w:tcMar>
              <w:top w:w="0" w:type="dxa"/>
              <w:bottom w:w="0" w:type="dxa"/>
            </w:tcMar>
            <w:vAlign w:val="center"/>
          </w:tcPr>
          <w:p w14:paraId="2EFE9DB3"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Підвищення прозорості та передбачуваності оформлення митних декларацій, зменшення кількості ручних оглядів та карток відмови, оптимізація роботи митних органів за ризиковим принципом.</w:t>
            </w:r>
          </w:p>
          <w:p w14:paraId="78F4ADC5"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Зниження фінансових та часових витрат бізнесу, прискорення обігу товарів, зменшення корупційних ризиків у митній сфері.</w:t>
            </w:r>
            <w:r>
              <w:rPr>
                <w:rFonts w:ascii="Times New Roman" w:eastAsia="Times New Roman" w:hAnsi="Times New Roman" w:cs="Times New Roman"/>
                <w:sz w:val="24"/>
                <w:szCs w:val="24"/>
              </w:rPr>
              <w:br/>
              <w:t>Підвищення довіри бізнесу до митниці, використання Індексу як інструменту антикорупційного та аналітичного моніторингу.</w:t>
            </w:r>
          </w:p>
        </w:tc>
      </w:tr>
      <w:tr w:rsidR="00752556" w14:paraId="33EACD24" w14:textId="77777777">
        <w:trPr>
          <w:trHeight w:val="330"/>
        </w:trPr>
        <w:tc>
          <w:tcPr>
            <w:tcW w:w="675" w:type="dxa"/>
            <w:tcMar>
              <w:top w:w="0" w:type="dxa"/>
              <w:bottom w:w="0" w:type="dxa"/>
            </w:tcMar>
            <w:vAlign w:val="center"/>
          </w:tcPr>
          <w:p w14:paraId="79299222" w14:textId="77777777" w:rsidR="00752556" w:rsidRDefault="007231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416" w:type="dxa"/>
            <w:tcMar>
              <w:top w:w="0" w:type="dxa"/>
              <w:bottom w:w="0" w:type="dxa"/>
            </w:tcMar>
            <w:vAlign w:val="center"/>
          </w:tcPr>
          <w:p w14:paraId="4AD822C7"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 судової практики щодо коригування митної вартості</w:t>
            </w:r>
          </w:p>
        </w:tc>
        <w:tc>
          <w:tcPr>
            <w:tcW w:w="1984" w:type="dxa"/>
            <w:tcMar>
              <w:top w:w="0" w:type="dxa"/>
              <w:bottom w:w="0" w:type="dxa"/>
            </w:tcMar>
            <w:vAlign w:val="center"/>
          </w:tcPr>
          <w:p w14:paraId="60BB1305" w14:textId="77777777" w:rsidR="00752556" w:rsidRDefault="00752556">
            <w:pPr>
              <w:spacing w:after="0" w:line="240" w:lineRule="auto"/>
              <w:jc w:val="both"/>
              <w:rPr>
                <w:rFonts w:ascii="Times New Roman" w:eastAsia="Times New Roman" w:hAnsi="Times New Roman" w:cs="Times New Roman"/>
                <w:sz w:val="24"/>
                <w:szCs w:val="24"/>
              </w:rPr>
            </w:pPr>
          </w:p>
        </w:tc>
        <w:tc>
          <w:tcPr>
            <w:tcW w:w="1985" w:type="dxa"/>
            <w:tcMar>
              <w:top w:w="0" w:type="dxa"/>
              <w:bottom w:w="0" w:type="dxa"/>
            </w:tcMar>
            <w:vAlign w:val="center"/>
          </w:tcPr>
          <w:p w14:paraId="03D581C9" w14:textId="77777777" w:rsidR="00752556" w:rsidRDefault="00752556">
            <w:pPr>
              <w:spacing w:after="0" w:line="240" w:lineRule="auto"/>
              <w:jc w:val="both"/>
              <w:rPr>
                <w:rFonts w:ascii="Times New Roman" w:eastAsia="Times New Roman" w:hAnsi="Times New Roman" w:cs="Times New Roman"/>
                <w:sz w:val="24"/>
                <w:szCs w:val="24"/>
              </w:rPr>
            </w:pPr>
          </w:p>
        </w:tc>
        <w:tc>
          <w:tcPr>
            <w:tcW w:w="5244" w:type="dxa"/>
            <w:tcMar>
              <w:top w:w="0" w:type="dxa"/>
              <w:bottom w:w="0" w:type="dxa"/>
            </w:tcMar>
            <w:vAlign w:val="center"/>
          </w:tcPr>
          <w:p w14:paraId="30E09CC4"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Використання судової практики як індикатора ефективності та корупційних ризиків, підготовка рекомендацій для вдосконалення процедур</w:t>
            </w:r>
          </w:p>
        </w:tc>
      </w:tr>
      <w:tr w:rsidR="00752556" w14:paraId="3EB82ED4" w14:textId="77777777">
        <w:trPr>
          <w:trHeight w:val="330"/>
        </w:trPr>
        <w:tc>
          <w:tcPr>
            <w:tcW w:w="675" w:type="dxa"/>
            <w:tcMar>
              <w:top w:w="0" w:type="dxa"/>
              <w:bottom w:w="0" w:type="dxa"/>
            </w:tcMar>
            <w:vAlign w:val="center"/>
          </w:tcPr>
          <w:p w14:paraId="51CCB1EC" w14:textId="77777777" w:rsidR="00752556" w:rsidRDefault="007231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416" w:type="dxa"/>
            <w:tcMar>
              <w:top w:w="0" w:type="dxa"/>
              <w:bottom w:w="0" w:type="dxa"/>
            </w:tcMar>
          </w:tcPr>
          <w:p w14:paraId="34D28E64"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Розвиток мультимодальних перевезень.</w:t>
            </w:r>
          </w:p>
        </w:tc>
        <w:tc>
          <w:tcPr>
            <w:tcW w:w="1984" w:type="dxa"/>
            <w:tcMar>
              <w:top w:w="0" w:type="dxa"/>
              <w:bottom w:w="0" w:type="dxa"/>
            </w:tcMar>
            <w:vAlign w:val="center"/>
          </w:tcPr>
          <w:p w14:paraId="0CAD5C23"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протягом року</w:t>
            </w:r>
          </w:p>
        </w:tc>
        <w:tc>
          <w:tcPr>
            <w:tcW w:w="1985" w:type="dxa"/>
            <w:tcMar>
              <w:top w:w="0" w:type="dxa"/>
              <w:bottom w:w="0" w:type="dxa"/>
            </w:tcMar>
            <w:vAlign w:val="center"/>
          </w:tcPr>
          <w:p w14:paraId="71B45AF7"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члени ради, </w:t>
            </w:r>
            <w:proofErr w:type="spellStart"/>
            <w:r>
              <w:rPr>
                <w:rFonts w:ascii="Times New Roman" w:eastAsia="Times New Roman" w:hAnsi="Times New Roman" w:cs="Times New Roman"/>
                <w:sz w:val="24"/>
                <w:szCs w:val="24"/>
              </w:rPr>
              <w:t>Берестенко</w:t>
            </w:r>
            <w:proofErr w:type="spellEnd"/>
            <w:r>
              <w:rPr>
                <w:rFonts w:ascii="Times New Roman" w:eastAsia="Times New Roman" w:hAnsi="Times New Roman" w:cs="Times New Roman"/>
                <w:sz w:val="24"/>
                <w:szCs w:val="24"/>
              </w:rPr>
              <w:t xml:space="preserve"> В.В.</w:t>
            </w:r>
          </w:p>
        </w:tc>
        <w:tc>
          <w:tcPr>
            <w:tcW w:w="5244" w:type="dxa"/>
            <w:tcMar>
              <w:top w:w="0" w:type="dxa"/>
              <w:bottom w:w="0" w:type="dxa"/>
            </w:tcMar>
            <w:vAlign w:val="center"/>
          </w:tcPr>
          <w:p w14:paraId="2F12B509" w14:textId="77777777" w:rsidR="00752556" w:rsidRDefault="007231E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Станом на сьогодні прийнятий ЗУ «Про мультимодальні перевезення». Разом із тим цей закон не працює внаслідок відсутності ухвалення Кабінетом Міністрів України та інших ЦОВВ деяких положень, зокрема:</w:t>
            </w:r>
          </w:p>
          <w:p w14:paraId="7BB7E51F" w14:textId="77777777" w:rsidR="00752556" w:rsidRDefault="007231ED">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форма</w:t>
            </w:r>
            <w:r>
              <w:rPr>
                <w:rFonts w:ascii="Times New Roman" w:eastAsia="Times New Roman" w:hAnsi="Times New Roman" w:cs="Times New Roman"/>
                <w:sz w:val="24"/>
                <w:szCs w:val="24"/>
                <w:highlight w:val="white"/>
              </w:rPr>
              <w:t xml:space="preserve"> єдиного перевізного документа (затверджується Кабінетом Міністрів України відповідно до ч. 1 ст. 11 Закону);</w:t>
            </w:r>
          </w:p>
          <w:p w14:paraId="58DDC1B5" w14:textId="77777777" w:rsidR="00752556" w:rsidRDefault="007231ED">
            <w:pPr>
              <w:numPr>
                <w:ilvl w:val="0"/>
                <w:numId w:val="1"/>
              </w:num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технічні вимоги до організації та функціонування мультимодальних терміналів (визначаються ЦОВВ, відповідно до ч. 7 ст. 8 Закону).</w:t>
            </w:r>
          </w:p>
          <w:p w14:paraId="4E5D28E0" w14:textId="77777777" w:rsidR="00752556" w:rsidRDefault="007231E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Одним з варіантів вирішення ситуації, що склалася є використання мультимодального </w:t>
            </w:r>
          </w:p>
          <w:p w14:paraId="66F5F755" w14:textId="77777777" w:rsidR="00752556" w:rsidRDefault="007231E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транспортного коносамента ФІАТА (</w:t>
            </w:r>
            <w:r>
              <w:rPr>
                <w:rFonts w:ascii="Times New Roman" w:eastAsia="Times New Roman" w:hAnsi="Times New Roman" w:cs="Times New Roman"/>
                <w:sz w:val="24"/>
                <w:szCs w:val="24"/>
                <w:highlight w:val="white"/>
              </w:rPr>
              <w:t xml:space="preserve">FBL, </w:t>
            </w:r>
            <w:proofErr w:type="spellStart"/>
            <w:r>
              <w:rPr>
                <w:rFonts w:ascii="Times New Roman" w:eastAsia="Times New Roman" w:hAnsi="Times New Roman" w:cs="Times New Roman"/>
                <w:sz w:val="24"/>
                <w:szCs w:val="24"/>
                <w:highlight w:val="white"/>
              </w:rPr>
              <w:t>Multimodal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Transport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Bill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of</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Lading</w:t>
            </w:r>
            <w:proofErr w:type="spellEnd"/>
            <w:r>
              <w:rPr>
                <w:rFonts w:ascii="Times New Roman" w:eastAsia="Times New Roman" w:hAnsi="Times New Roman" w:cs="Times New Roman"/>
                <w:sz w:val="24"/>
                <w:szCs w:val="24"/>
              </w:rPr>
              <w:t>).</w:t>
            </w:r>
          </w:p>
          <w:p w14:paraId="051E6F8B" w14:textId="77777777" w:rsidR="00752556" w:rsidRDefault="007231ED">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Документ FBL відповідає всім передбаченим Законом вимогам (ч. 1 ст. 11 Закону), у 1983 році був офіційно визнаний Міжнародною торговельною палатою (далі - МТП), як документ у практиці акредитива.</w:t>
            </w:r>
          </w:p>
          <w:p w14:paraId="7BA9DE0A" w14:textId="77777777" w:rsidR="00752556" w:rsidRDefault="007231ED">
            <w:p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 сьогодні FBL ФІАТА є одним з найбільш часто використовуваних комбінованих / мультимодальних транспортних документів у світі.</w:t>
            </w:r>
          </w:p>
        </w:tc>
      </w:tr>
      <w:tr w:rsidR="00752556" w14:paraId="14DAEF97" w14:textId="77777777">
        <w:trPr>
          <w:trHeight w:val="330"/>
        </w:trPr>
        <w:tc>
          <w:tcPr>
            <w:tcW w:w="675" w:type="dxa"/>
            <w:tcMar>
              <w:top w:w="0" w:type="dxa"/>
              <w:bottom w:w="0" w:type="dxa"/>
            </w:tcMar>
            <w:vAlign w:val="center"/>
          </w:tcPr>
          <w:p w14:paraId="3AE944F8" w14:textId="77777777" w:rsidR="00752556" w:rsidRDefault="007231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5416" w:type="dxa"/>
            <w:tcMar>
              <w:top w:w="0" w:type="dxa"/>
              <w:bottom w:w="0" w:type="dxa"/>
            </w:tcMar>
          </w:tcPr>
          <w:p w14:paraId="2207C2A6"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Оптимізація логістичних витрат</w:t>
            </w:r>
          </w:p>
        </w:tc>
        <w:tc>
          <w:tcPr>
            <w:tcW w:w="1984" w:type="dxa"/>
            <w:tcMar>
              <w:top w:w="0" w:type="dxa"/>
              <w:bottom w:w="0" w:type="dxa"/>
            </w:tcMar>
            <w:vAlign w:val="center"/>
          </w:tcPr>
          <w:p w14:paraId="1EC32B01"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протягом року</w:t>
            </w:r>
          </w:p>
        </w:tc>
        <w:tc>
          <w:tcPr>
            <w:tcW w:w="1985" w:type="dxa"/>
            <w:tcMar>
              <w:top w:w="0" w:type="dxa"/>
              <w:bottom w:w="0" w:type="dxa"/>
            </w:tcMar>
            <w:vAlign w:val="center"/>
          </w:tcPr>
          <w:p w14:paraId="405590E4"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члени ради, </w:t>
            </w:r>
            <w:proofErr w:type="spellStart"/>
            <w:r>
              <w:rPr>
                <w:rFonts w:ascii="Times New Roman" w:eastAsia="Times New Roman" w:hAnsi="Times New Roman" w:cs="Times New Roman"/>
                <w:sz w:val="24"/>
                <w:szCs w:val="24"/>
              </w:rPr>
              <w:t>Берестенко</w:t>
            </w:r>
            <w:proofErr w:type="spellEnd"/>
            <w:r>
              <w:rPr>
                <w:rFonts w:ascii="Times New Roman" w:eastAsia="Times New Roman" w:hAnsi="Times New Roman" w:cs="Times New Roman"/>
                <w:sz w:val="24"/>
                <w:szCs w:val="24"/>
              </w:rPr>
              <w:t xml:space="preserve"> В.В.</w:t>
            </w:r>
          </w:p>
        </w:tc>
        <w:tc>
          <w:tcPr>
            <w:tcW w:w="5244" w:type="dxa"/>
            <w:tcMar>
              <w:top w:w="0" w:type="dxa"/>
              <w:bottom w:w="0" w:type="dxa"/>
            </w:tcMar>
            <w:vAlign w:val="center"/>
          </w:tcPr>
          <w:p w14:paraId="2DA45844"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Забезпечення прозорості тарифного регулювання, уніфікація правил застосування тарифів та знижок, зменшення дискреційних практик.</w:t>
            </w:r>
            <w:r>
              <w:rPr>
                <w:rFonts w:ascii="Times New Roman" w:eastAsia="Times New Roman" w:hAnsi="Times New Roman" w:cs="Times New Roman"/>
                <w:sz w:val="24"/>
                <w:szCs w:val="24"/>
              </w:rPr>
              <w:br/>
              <w:t>Створення умов для справедливої конкуренції серед перевізників та портових операторів, зниження транспортних витрат для бізнесу, підвищення ефективності використання транспортної інфраструктури.</w:t>
            </w:r>
            <w:r>
              <w:rPr>
                <w:rFonts w:ascii="Times New Roman" w:eastAsia="Times New Roman" w:hAnsi="Times New Roman" w:cs="Times New Roman"/>
                <w:sz w:val="24"/>
                <w:szCs w:val="24"/>
              </w:rPr>
              <w:br/>
              <w:t>Підвищення передбачуваності витрат на перевезення та портові послуги, усунення дискримінаційних практик, зменшення корупційних ризиків.</w:t>
            </w:r>
          </w:p>
        </w:tc>
      </w:tr>
      <w:tr w:rsidR="00752556" w14:paraId="4E87A30F" w14:textId="77777777">
        <w:trPr>
          <w:trHeight w:val="330"/>
        </w:trPr>
        <w:tc>
          <w:tcPr>
            <w:tcW w:w="675" w:type="dxa"/>
            <w:tcMar>
              <w:top w:w="0" w:type="dxa"/>
              <w:bottom w:w="0" w:type="dxa"/>
            </w:tcMar>
            <w:vAlign w:val="center"/>
          </w:tcPr>
          <w:p w14:paraId="2E2620E4" w14:textId="77777777" w:rsidR="00752556" w:rsidRDefault="007231E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416" w:type="dxa"/>
            <w:tcMar>
              <w:top w:w="0" w:type="dxa"/>
              <w:bottom w:w="0" w:type="dxa"/>
            </w:tcMar>
          </w:tcPr>
          <w:p w14:paraId="07C884AD"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Моніторинг впливу митних процедур на логістичні витрати та час перебування транспортних засобів у пунктах митного контролю</w:t>
            </w:r>
          </w:p>
        </w:tc>
        <w:tc>
          <w:tcPr>
            <w:tcW w:w="1984" w:type="dxa"/>
            <w:tcMar>
              <w:top w:w="0" w:type="dxa"/>
              <w:bottom w:w="0" w:type="dxa"/>
            </w:tcMar>
            <w:vAlign w:val="center"/>
          </w:tcPr>
          <w:p w14:paraId="32969D04" w14:textId="77777777" w:rsidR="00752556" w:rsidRDefault="00752556">
            <w:pPr>
              <w:spacing w:after="0" w:line="240" w:lineRule="auto"/>
              <w:jc w:val="both"/>
              <w:rPr>
                <w:rFonts w:ascii="Times New Roman" w:eastAsia="Times New Roman" w:hAnsi="Times New Roman" w:cs="Times New Roman"/>
                <w:sz w:val="24"/>
                <w:szCs w:val="24"/>
              </w:rPr>
            </w:pPr>
          </w:p>
        </w:tc>
        <w:tc>
          <w:tcPr>
            <w:tcW w:w="1985" w:type="dxa"/>
            <w:tcMar>
              <w:top w:w="0" w:type="dxa"/>
              <w:bottom w:w="0" w:type="dxa"/>
            </w:tcMar>
            <w:vAlign w:val="center"/>
          </w:tcPr>
          <w:p w14:paraId="571276D2" w14:textId="77777777" w:rsidR="00752556" w:rsidRDefault="00752556">
            <w:pPr>
              <w:spacing w:after="0" w:line="240" w:lineRule="auto"/>
              <w:jc w:val="both"/>
              <w:rPr>
                <w:rFonts w:ascii="Times New Roman" w:eastAsia="Times New Roman" w:hAnsi="Times New Roman" w:cs="Times New Roman"/>
                <w:sz w:val="24"/>
                <w:szCs w:val="24"/>
              </w:rPr>
            </w:pPr>
          </w:p>
        </w:tc>
        <w:tc>
          <w:tcPr>
            <w:tcW w:w="5244" w:type="dxa"/>
            <w:tcMar>
              <w:top w:w="0" w:type="dxa"/>
              <w:bottom w:w="0" w:type="dxa"/>
            </w:tcMar>
            <w:vAlign w:val="center"/>
          </w:tcPr>
          <w:p w14:paraId="7A65445B"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системного моніторингу та аналізу впливу митних і суміжних контрольних процедур на рівень логістичних витрат бізнесу, зокрема:</w:t>
            </w:r>
          </w:p>
          <w:p w14:paraId="19FC50BF"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часу перебування транспортних засобів у пунктах пропуску та зонах митного контролю;</w:t>
            </w:r>
          </w:p>
          <w:p w14:paraId="7FB26242"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простою автотранспорту під час митного оформлення;</w:t>
            </w:r>
          </w:p>
          <w:p w14:paraId="79708AFD"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тривалості та частоти проведення митного огляду, зважування, переогляду, інших процедур із вантажами;</w:t>
            </w:r>
          </w:p>
          <w:p w14:paraId="6D91066A"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повторюваності та дублювання контрольних дій;</w:t>
            </w:r>
          </w:p>
          <w:p w14:paraId="6FB0101C"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впливу рішень митних органів на непрямі витрати (демередж, простої, додаткові рейси, оплата водіїв, штрафи).</w:t>
            </w:r>
          </w:p>
          <w:p w14:paraId="5066E8E6" w14:textId="77777777" w:rsidR="00752556" w:rsidRDefault="00752556">
            <w:pPr>
              <w:spacing w:after="0" w:line="240" w:lineRule="auto"/>
              <w:jc w:val="both"/>
              <w:rPr>
                <w:rFonts w:ascii="Times New Roman" w:eastAsia="Times New Roman" w:hAnsi="Times New Roman" w:cs="Times New Roman"/>
                <w:sz w:val="24"/>
                <w:szCs w:val="24"/>
              </w:rPr>
            </w:pPr>
          </w:p>
          <w:p w14:paraId="17019A98"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Результатом моніторингу має бути:</w:t>
            </w:r>
          </w:p>
          <w:p w14:paraId="3394874C"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виявлення процедур, що створюють найбільше додаткових витрат і затримок;</w:t>
            </w:r>
          </w:p>
          <w:p w14:paraId="64172C6C"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підготовка практичних пропозицій щодо скорочення часу оформлення та перебування транспортних засобів під митним контролем;</w:t>
            </w:r>
          </w:p>
          <w:p w14:paraId="681025D1" w14:textId="77777777" w:rsidR="00752556" w:rsidRDefault="007231E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формування рекомендацій щодо зміни або оптимізації окремих процедур без шкоди для митного контролю.</w:t>
            </w:r>
          </w:p>
        </w:tc>
      </w:tr>
    </w:tbl>
    <w:p w14:paraId="44875203" w14:textId="77777777" w:rsidR="00752556" w:rsidRDefault="00752556">
      <w:pPr>
        <w:spacing w:after="0" w:line="240" w:lineRule="auto"/>
        <w:rPr>
          <w:rFonts w:ascii="Times New Roman" w:eastAsia="Times New Roman" w:hAnsi="Times New Roman" w:cs="Times New Roman"/>
          <w:sz w:val="24"/>
          <w:szCs w:val="24"/>
        </w:rPr>
      </w:pPr>
    </w:p>
    <w:sectPr w:rsidR="00752556">
      <w:footerReference w:type="default" r:id="rId8"/>
      <w:pgSz w:w="16838" w:h="11906" w:orient="landscape"/>
      <w:pgMar w:top="709" w:right="850" w:bottom="850" w:left="850" w:header="708" w:footer="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916907" w14:textId="77777777" w:rsidR="0027405C" w:rsidRDefault="0027405C">
      <w:pPr>
        <w:spacing w:after="0" w:line="240" w:lineRule="auto"/>
      </w:pPr>
      <w:r>
        <w:separator/>
      </w:r>
    </w:p>
  </w:endnote>
  <w:endnote w:type="continuationSeparator" w:id="0">
    <w:p w14:paraId="5180BA53" w14:textId="77777777" w:rsidR="0027405C" w:rsidRDefault="00274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3C3132B1-F689-9B4E-A599-690E19906AA2}"/>
    <w:embedBold r:id="rId2" w:fontKey="{94F477FE-42B5-0240-BFAE-F73B470DE60D}"/>
  </w:font>
  <w:font w:name="Calibri">
    <w:panose1 w:val="020F0502020204030204"/>
    <w:charset w:val="00"/>
    <w:family w:val="swiss"/>
    <w:pitch w:val="variable"/>
    <w:sig w:usb0="E0002AFF" w:usb1="C000247B" w:usb2="00000009" w:usb3="00000000" w:csb0="000001FF" w:csb1="00000000"/>
    <w:embedRegular r:id="rId3" w:fontKey="{382E34AC-4664-D84C-BE58-E4D80BF295F3}"/>
    <w:embedBold r:id="rId4" w:fontKey="{47329709-2EF0-B542-A7AB-BA1C9680A308}"/>
  </w:font>
  <w:font w:name="Georgia">
    <w:panose1 w:val="02040502050405020303"/>
    <w:charset w:val="CC"/>
    <w:family w:val="roman"/>
    <w:pitch w:val="variable"/>
    <w:sig w:usb0="00000287" w:usb1="00000000" w:usb2="00000000" w:usb3="00000000" w:csb0="0000009F" w:csb1="00000000"/>
    <w:embedRegular r:id="rId5" w:fontKey="{504FA0A6-3F54-594B-AB37-57EC151AD13C}"/>
    <w:embedItalic r:id="rId6" w:fontKey="{E047AB5A-0851-514A-A7CC-80D7C3213350}"/>
  </w:font>
  <w:font w:name="Calibri Light">
    <w:panose1 w:val="020F0302020204030204"/>
    <w:charset w:val="00"/>
    <w:family w:val="swiss"/>
    <w:pitch w:val="variable"/>
    <w:sig w:usb0="E0002AFF" w:usb1="C000247B" w:usb2="00000009" w:usb3="00000000" w:csb0="000001FF" w:csb1="00000000"/>
    <w:embedRegular r:id="rId7" w:fontKey="{0BAEC3BD-E4E5-E749-86B1-32D3B9D198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C3613" w14:textId="77777777" w:rsidR="00752556" w:rsidRDefault="007231ED">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A72EE">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00E32E21" w14:textId="77777777" w:rsidR="00752556" w:rsidRDefault="00752556">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71B8D" w14:textId="77777777" w:rsidR="0027405C" w:rsidRDefault="0027405C">
      <w:pPr>
        <w:spacing w:after="0" w:line="240" w:lineRule="auto"/>
      </w:pPr>
      <w:r>
        <w:separator/>
      </w:r>
    </w:p>
  </w:footnote>
  <w:footnote w:type="continuationSeparator" w:id="0">
    <w:p w14:paraId="56F486CE" w14:textId="77777777" w:rsidR="0027405C" w:rsidRDefault="00274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C250C4"/>
    <w:multiLevelType w:val="multilevel"/>
    <w:tmpl w:val="494C4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566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556"/>
    <w:rsid w:val="0027405C"/>
    <w:rsid w:val="002A72EE"/>
    <w:rsid w:val="007231ED"/>
    <w:rsid w:val="00752556"/>
    <w:rsid w:val="00792040"/>
    <w:rsid w:val="00925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054C"/>
  <w15:docId w15:val="{8F1C5EDE-8F4A-483B-8ED5-AAD54315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rvts9">
    <w:name w:val="rvts9"/>
    <w:rsid w:val="000D7048"/>
    <w:rPr>
      <w:lang w:val="ru-RU"/>
    </w:rPr>
  </w:style>
  <w:style w:type="table" w:customStyle="1" w:styleId="a4">
    <w:basedOn w:val="TableNormal1"/>
    <w:tblPr>
      <w:tblStyleRowBandSize w:val="1"/>
      <w:tblStyleColBandSize w:val="1"/>
      <w:tblCellMar>
        <w:left w:w="115" w:type="dxa"/>
        <w:right w:w="115" w:type="dxa"/>
      </w:tblCellMar>
    </w:tblPr>
  </w:style>
  <w:style w:type="paragraph" w:styleId="a5">
    <w:name w:val="List Paragraph"/>
    <w:uiPriority w:val="34"/>
    <w:qFormat/>
    <w:rsid w:val="00873AAF"/>
    <w:pPr>
      <w:ind w:left="720"/>
      <w:contextualSpacing/>
    </w:pPr>
    <w:rPr>
      <w:rFonts w:asciiTheme="minorHAnsi" w:eastAsiaTheme="minorHAnsi" w:hAnsiTheme="minorHAnsi" w:cstheme="minorBidi"/>
      <w:lang w:val="ru-RU" w:eastAsia="en-US"/>
    </w:rPr>
  </w:style>
  <w:style w:type="character" w:customStyle="1" w:styleId="a6">
    <w:name w:val="Подзаголовок Знак"/>
    <w:rsid w:val="00F57AA8"/>
    <w:rPr>
      <w:rFonts w:ascii="Georgia" w:eastAsia="Georgia" w:hAnsi="Georgia" w:cs="Georgia"/>
      <w:i/>
      <w:color w:val="666666"/>
      <w:sz w:val="48"/>
      <w:szCs w:val="48"/>
    </w:rPr>
  </w:style>
  <w:style w:type="character" w:customStyle="1" w:styleId="il">
    <w:name w:val="il"/>
    <w:basedOn w:val="a0"/>
    <w:rsid w:val="00C07B0C"/>
  </w:style>
  <w:style w:type="paragraph" w:styleId="a7">
    <w:name w:val="header"/>
    <w:link w:val="a8"/>
    <w:uiPriority w:val="99"/>
    <w:unhideWhenUsed/>
    <w:rsid w:val="00D263D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263D0"/>
    <w:rPr>
      <w:rFonts w:cs="Times New Roman"/>
    </w:rPr>
  </w:style>
  <w:style w:type="paragraph" w:styleId="a9">
    <w:name w:val="footer"/>
    <w:link w:val="aa"/>
    <w:uiPriority w:val="99"/>
    <w:unhideWhenUsed/>
    <w:rsid w:val="00D263D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263D0"/>
    <w:rPr>
      <w:rFonts w:cs="Times New Roman"/>
    </w:rPr>
  </w:style>
  <w:style w:type="character" w:styleId="ab">
    <w:name w:val="Strong"/>
    <w:basedOn w:val="a0"/>
    <w:uiPriority w:val="22"/>
    <w:qFormat/>
    <w:rsid w:val="003F1AFA"/>
    <w:rPr>
      <w:b/>
      <w:bCs/>
    </w:rPr>
  </w:style>
  <w:style w:type="paragraph" w:styleId="ac">
    <w:name w:val="Normal (Web)"/>
    <w:uiPriority w:val="99"/>
    <w:unhideWhenUsed/>
    <w:qFormat/>
    <w:rsid w:val="008F74EC"/>
    <w:pPr>
      <w:spacing w:before="100" w:beforeAutospacing="1" w:after="100" w:afterAutospacing="1" w:line="240" w:lineRule="auto"/>
    </w:pPr>
    <w:rPr>
      <w:rFonts w:ascii="Times New Roman" w:eastAsia="Times New Roman" w:hAnsi="Times New Roman"/>
      <w:sz w:val="24"/>
      <w:szCs w:val="24"/>
      <w:lang w:val="ru-RU"/>
    </w:rPr>
  </w:style>
  <w:style w:type="character" w:styleId="ad">
    <w:name w:val="Hyperlink"/>
    <w:basedOn w:val="a0"/>
    <w:uiPriority w:val="99"/>
    <w:unhideWhenUsed/>
    <w:rsid w:val="00483B06"/>
    <w:rPr>
      <w:color w:val="0563C1" w:themeColor="hyperlink"/>
      <w:u w:val="single"/>
    </w:rPr>
  </w:style>
  <w:style w:type="table" w:customStyle="1" w:styleId="ae">
    <w:basedOn w:val="TableNormal0"/>
    <w:tblPr>
      <w:tblStyleRowBandSize w:val="1"/>
      <w:tblStyleColBandSize w:val="1"/>
      <w:tblCellMar>
        <w:left w:w="115" w:type="dxa"/>
        <w:right w:w="115" w:type="dxa"/>
      </w:tblCellMar>
    </w:tblPr>
  </w:style>
  <w:style w:type="paragraph" w:styleId="af">
    <w:name w:val="Subtitle"/>
    <w:basedOn w:val="a"/>
    <w:next w:val="a"/>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7k1KnnKsnTsg2mQJOaTk9wDWw==">CgMxLjAyCGguZ2pkZ3hzOAByITE0SHktMFA4dkVHZ0NnbkozN1BjT280Y3BpUWl4R2E4bA==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911</Words>
  <Characters>5194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Taslitskyi</dc:creator>
  <cp:lastModifiedBy>Olexandr Krylach</cp:lastModifiedBy>
  <cp:revision>2</cp:revision>
  <dcterms:created xsi:type="dcterms:W3CDTF">2026-03-02T15:31:00Z</dcterms:created>
  <dcterms:modified xsi:type="dcterms:W3CDTF">2026-03-02T15:31:00Z</dcterms:modified>
</cp:coreProperties>
</file>