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Pr="00CD457E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Pr="00CD457E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16"/>
          <w:szCs w:val="16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232"/>
        <w:gridCol w:w="6095"/>
      </w:tblGrid>
      <w:tr w:rsidR="0044463B" w:rsidRPr="002C323B" w:rsidTr="00CD457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624100" w:rsidRDefault="0044463B" w:rsidP="00A52A66">
            <w:pPr>
              <w:pStyle w:val="Standard"/>
              <w:jc w:val="center"/>
              <w:rPr>
                <w:b/>
                <w:sz w:val="21"/>
                <w:szCs w:val="21"/>
                <w:lang w:val="uk-UA"/>
              </w:rPr>
            </w:pPr>
            <w:r w:rsidRPr="00624100">
              <w:rPr>
                <w:b/>
                <w:sz w:val="21"/>
                <w:szCs w:val="21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CD457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32" w:type="dxa"/>
            <w:vAlign w:val="center"/>
          </w:tcPr>
          <w:p w:rsidR="0044463B" w:rsidRPr="00624100" w:rsidRDefault="0044463B" w:rsidP="00A52A66">
            <w:pPr>
              <w:pStyle w:val="Standard"/>
              <w:jc w:val="both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  <w:lang w:val="uk-UA"/>
              </w:rPr>
              <w:t>Назва предмета закупівлі</w:t>
            </w:r>
          </w:p>
        </w:tc>
        <w:tc>
          <w:tcPr>
            <w:tcW w:w="6095" w:type="dxa"/>
            <w:vAlign w:val="center"/>
          </w:tcPr>
          <w:p w:rsidR="0044463B" w:rsidRPr="00624100" w:rsidRDefault="0044463B" w:rsidP="00CD457E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24100">
              <w:rPr>
                <w:rFonts w:ascii="Times New Roman" w:hAnsi="Times New Roman"/>
                <w:sz w:val="21"/>
                <w:szCs w:val="21"/>
              </w:rPr>
              <w:t>«</w:t>
            </w:r>
            <w:proofErr w:type="spellStart"/>
            <w:r w:rsidR="0080143C" w:rsidRPr="00624100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Послуги</w:t>
            </w:r>
            <w:proofErr w:type="spellEnd"/>
            <w:r w:rsidR="0080143C" w:rsidRPr="00624100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="0080143C" w:rsidRPr="00624100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з</w:t>
            </w:r>
            <w:proofErr w:type="spellEnd"/>
            <w:r w:rsidR="0080143C" w:rsidRPr="00624100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="00CD457E" w:rsidRPr="00624100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письмового</w:t>
            </w:r>
            <w:proofErr w:type="spellEnd"/>
            <w:r w:rsidR="00CD457E" w:rsidRPr="00624100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 перекладу </w:t>
            </w:r>
            <w:proofErr w:type="spellStart"/>
            <w:r w:rsidR="00CD457E" w:rsidRPr="00624100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документів</w:t>
            </w:r>
            <w:proofErr w:type="spellEnd"/>
            <w:r w:rsidRPr="00624100">
              <w:rPr>
                <w:rFonts w:ascii="Times New Roman" w:hAnsi="Times New Roman"/>
                <w:sz w:val="21"/>
                <w:szCs w:val="21"/>
              </w:rPr>
              <w:t>»</w:t>
            </w:r>
          </w:p>
        </w:tc>
      </w:tr>
      <w:tr w:rsidR="00C46E8E" w:rsidTr="00CD457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32" w:type="dxa"/>
            <w:vAlign w:val="center"/>
          </w:tcPr>
          <w:p w:rsidR="00066D2F" w:rsidRPr="00624100" w:rsidRDefault="00066D2F" w:rsidP="00A52A66">
            <w:pPr>
              <w:pStyle w:val="Standard"/>
              <w:jc w:val="both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  <w:lang w:val="uk-UA"/>
              </w:rPr>
              <w:t xml:space="preserve">Код за класифікатором </w:t>
            </w:r>
          </w:p>
          <w:p w:rsidR="00C46E8E" w:rsidRPr="00624100" w:rsidRDefault="00066D2F" w:rsidP="00A52A66">
            <w:pPr>
              <w:pStyle w:val="Standard"/>
              <w:jc w:val="both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  <w:lang w:val="uk-UA"/>
              </w:rPr>
              <w:t>ДК 021:2015 (CPV)</w:t>
            </w:r>
          </w:p>
        </w:tc>
        <w:tc>
          <w:tcPr>
            <w:tcW w:w="6095" w:type="dxa"/>
            <w:vAlign w:val="center"/>
          </w:tcPr>
          <w:p w:rsidR="00C46E8E" w:rsidRPr="00624100" w:rsidRDefault="00CD457E" w:rsidP="005F4C5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624100">
              <w:rPr>
                <w:rFonts w:ascii="Times New Roman CYR" w:hAnsi="Times New Roman CYR" w:cs="Times New Roman CYR"/>
                <w:sz w:val="21"/>
                <w:szCs w:val="21"/>
                <w:highlight w:val="white"/>
              </w:rPr>
              <w:t xml:space="preserve">79530000-8 Послуги з письмового </w:t>
            </w:r>
            <w:proofErr w:type="spellStart"/>
            <w:r w:rsidRPr="00624100">
              <w:rPr>
                <w:rFonts w:ascii="Times New Roman CYR" w:hAnsi="Times New Roman CYR" w:cs="Times New Roman CYR"/>
                <w:sz w:val="21"/>
                <w:szCs w:val="21"/>
                <w:highlight w:val="white"/>
              </w:rPr>
              <w:t>перкладу</w:t>
            </w:r>
            <w:proofErr w:type="spellEnd"/>
          </w:p>
        </w:tc>
      </w:tr>
      <w:tr w:rsidR="00C345E8" w:rsidRPr="00C345E8" w:rsidTr="00CD457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32" w:type="dxa"/>
            <w:vAlign w:val="center"/>
          </w:tcPr>
          <w:p w:rsidR="00C345E8" w:rsidRPr="00624100" w:rsidRDefault="00C345E8" w:rsidP="00A52A66">
            <w:pPr>
              <w:pStyle w:val="Standard"/>
              <w:jc w:val="both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  <w:lang w:val="uk-UA"/>
              </w:rPr>
              <w:t>Вид процедури закупівлі</w:t>
            </w:r>
          </w:p>
        </w:tc>
        <w:tc>
          <w:tcPr>
            <w:tcW w:w="6095" w:type="dxa"/>
            <w:vAlign w:val="center"/>
          </w:tcPr>
          <w:p w:rsidR="00C345E8" w:rsidRPr="00624100" w:rsidRDefault="00AB6153" w:rsidP="00A52A66">
            <w:pPr>
              <w:pStyle w:val="Standard"/>
              <w:jc w:val="both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</w:rPr>
              <w:t>Відкриті торги з особливостями</w:t>
            </w:r>
          </w:p>
        </w:tc>
      </w:tr>
      <w:tr w:rsidR="0044463B" w:rsidTr="00CD457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32" w:type="dxa"/>
            <w:vAlign w:val="center"/>
          </w:tcPr>
          <w:p w:rsidR="0044463B" w:rsidRPr="00624100" w:rsidRDefault="0044463B" w:rsidP="00A52A66">
            <w:pPr>
              <w:pStyle w:val="Standard"/>
              <w:jc w:val="both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  <w:lang w:val="uk-UA"/>
              </w:rPr>
              <w:t>Ідентифікатор закупівлі</w:t>
            </w:r>
          </w:p>
        </w:tc>
        <w:tc>
          <w:tcPr>
            <w:tcW w:w="6095" w:type="dxa"/>
            <w:vAlign w:val="center"/>
          </w:tcPr>
          <w:p w:rsidR="0044463B" w:rsidRPr="00624100" w:rsidRDefault="00F148A8" w:rsidP="00A52A66">
            <w:pPr>
              <w:pStyle w:val="Standard"/>
              <w:jc w:val="both"/>
              <w:rPr>
                <w:b/>
                <w:sz w:val="21"/>
                <w:szCs w:val="21"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UA-2026-03-05-001215-a</w:t>
              </w:r>
            </w:hyperlink>
          </w:p>
        </w:tc>
      </w:tr>
      <w:tr w:rsidR="000D66C6" w:rsidTr="00CD457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32" w:type="dxa"/>
          </w:tcPr>
          <w:p w:rsidR="000D66C6" w:rsidRPr="00624100" w:rsidRDefault="000D66C6" w:rsidP="000D66C6">
            <w:pPr>
              <w:pStyle w:val="Standard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  <w:vAlign w:val="center"/>
          </w:tcPr>
          <w:p w:rsidR="00CD457E" w:rsidRPr="00624100" w:rsidRDefault="00CD457E" w:rsidP="00CD457E">
            <w:pPr>
              <w:tabs>
                <w:tab w:val="left" w:pos="709"/>
                <w:tab w:val="left" w:pos="2160"/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Під час роботи над перекладом документів, що є предметом цього Договору, Виконавець зобов’язаний дотримуватись таких вимог:</w:t>
            </w:r>
          </w:p>
          <w:p w:rsidR="00CD457E" w:rsidRPr="00624100" w:rsidRDefault="00CD457E" w:rsidP="00CD457E">
            <w:pPr>
              <w:numPr>
                <w:ilvl w:val="0"/>
                <w:numId w:val="8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786" w:hanging="360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Переклад має повністю зберігати структуру та цілісність документу-оригінала.</w:t>
            </w:r>
          </w:p>
          <w:p w:rsidR="00CD457E" w:rsidRPr="00624100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2.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 xml:space="preserve">Переклади документів обов’язково підлягають форматуванню (текстовий процесор Microsoft Word або аналог). </w:t>
            </w:r>
          </w:p>
          <w:p w:rsidR="00CD457E" w:rsidRPr="00624100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3.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 xml:space="preserve">Переклади документів обов’язково підлягають перевірці вживаних термінів на відповідність таким, що використовуються </w:t>
            </w:r>
            <w:r w:rsidRPr="00624100"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>у міжнародних договорах з питань співробітництва у кримінальних справах, кримінальному процесуальному законодавстві України.</w:t>
            </w:r>
          </w:p>
          <w:p w:rsidR="00CD457E" w:rsidRPr="00624100" w:rsidRDefault="00CD457E" w:rsidP="00CD457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61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ab/>
              <w:t xml:space="preserve">4.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 xml:space="preserve">Переклад текстових документів </w:t>
            </w:r>
            <w:r w:rsidRPr="00624100"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(запитів, відповідей на запити та інших документів, пов’язаних або тих, що надходять на виконання  міжнародних договорів України про правове співробітництво у адміністративних справах,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 xml:space="preserve">має враховувати юридичну термінологію у адміністративних справах та особливості термінології відповідних міжнародних договорів України. При цьому переклад має відтворювати оригінальний текст із найменшим від нього відхиленням. </w:t>
            </w:r>
          </w:p>
          <w:p w:rsidR="00CD457E" w:rsidRPr="00624100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5.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Переклад текстових документів забезпечується з або на такі мови:</w:t>
            </w:r>
          </w:p>
          <w:p w:rsidR="00CD457E" w:rsidRPr="00624100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5.1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англійська,</w:t>
            </w:r>
          </w:p>
          <w:p w:rsidR="00CD457E" w:rsidRPr="00624100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5.2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французька, румунська (молдовська),</w:t>
            </w:r>
          </w:p>
          <w:p w:rsidR="00CD457E" w:rsidRPr="00624100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5.3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німецька, польська,</w:t>
            </w:r>
          </w:p>
          <w:p w:rsidR="00CD457E" w:rsidRPr="00624100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5.4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турецька,</w:t>
            </w:r>
          </w:p>
          <w:p w:rsidR="00CD457E" w:rsidRPr="00624100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5.5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 xml:space="preserve">за потреби інші мови. </w:t>
            </w:r>
          </w:p>
          <w:p w:rsidR="00CD457E" w:rsidRPr="00624100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6.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Переклад обов'язково повинен повністю довести всі думки, висловлені у оригіналі документу. При цьому повинні бути збережені не тільки основні положення, але також і нюанси і відтінки висловлювання. Перекладач разом з тим не має нічого додавати від себе, не повинен доповнювати і пояснювати, чи будь-яким іншим чином тлумачити зміст документа.</w:t>
            </w:r>
          </w:p>
          <w:p w:rsidR="00CD457E" w:rsidRPr="00624100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7.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 xml:space="preserve">Показники якості письмового перекладу: </w:t>
            </w:r>
          </w:p>
          <w:p w:rsidR="00CD457E" w:rsidRPr="00624100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7.1.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переклад відповідає вимогам Замовника та відповідає початковому тексту за змістом, суттю та оформленням;</w:t>
            </w:r>
          </w:p>
          <w:p w:rsidR="00CD457E" w:rsidRPr="00624100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7.2.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переклад не містить граматичних, орфографічних і пунктуаційних помилок;</w:t>
            </w:r>
          </w:p>
          <w:p w:rsidR="00CD457E" w:rsidRPr="00624100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7.3.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термінологія перекладу відповідає галузевій належності початкового тексту;</w:t>
            </w:r>
          </w:p>
          <w:p w:rsidR="00CD457E" w:rsidRPr="00624100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7.4.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у перекладі Учасник дотримується одноманітності термінів, найменувань, умовних позначень, скорочень, символів;</w:t>
            </w:r>
          </w:p>
          <w:p w:rsidR="00CD457E" w:rsidRPr="00624100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7.5.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 xml:space="preserve">забороняється використання програм машинного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lastRenderedPageBreak/>
              <w:t>перекладу текстів;</w:t>
            </w:r>
          </w:p>
          <w:p w:rsidR="00CD457E" w:rsidRPr="00624100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bCs/>
                <w:i/>
                <w:iCs/>
                <w:sz w:val="21"/>
                <w:szCs w:val="21"/>
              </w:rPr>
            </w:pPr>
            <w:r w:rsidRPr="00624100">
              <w:rPr>
                <w:bCs/>
                <w:i/>
                <w:iCs/>
                <w:sz w:val="21"/>
                <w:szCs w:val="21"/>
              </w:rPr>
              <w:t xml:space="preserve">7.6. </w:t>
            </w:r>
            <w:r w:rsidRPr="00624100">
              <w:rPr>
                <w:rFonts w:ascii="Times New Roman CYR" w:hAnsi="Times New Roman CYR" w:cs="Times New Roman CYR"/>
                <w:bCs/>
                <w:i/>
                <w:iCs/>
                <w:sz w:val="21"/>
                <w:szCs w:val="21"/>
              </w:rPr>
              <w:t>всі переклади вичитуються коректором (редактором).</w:t>
            </w:r>
          </w:p>
          <w:p w:rsidR="00CD457E" w:rsidRPr="00624100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color w:val="000000"/>
                <w:sz w:val="21"/>
                <w:szCs w:val="21"/>
              </w:rPr>
            </w:pPr>
            <w:r w:rsidRPr="00624100">
              <w:rPr>
                <w:rFonts w:ascii="Times New Roman CYR" w:hAnsi="Times New Roman CYR" w:cs="Times New Roman CYR"/>
                <w:bCs/>
                <w:sz w:val="21"/>
                <w:szCs w:val="21"/>
              </w:rPr>
              <w:t xml:space="preserve">Одиницею виміру обсягу перекладу є сторінка (1 860 знаків з пробілами).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Для підрахунку кількості сторінок (знаків) може використовуватися комп’ютерна програма підрахунку знаків. Перевірка к</w:t>
            </w:r>
            <w:r w:rsidRPr="00624100"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ількості знаків з пробілами може автоматично здійснюватися   програмою </w:t>
            </w:r>
            <w:r w:rsidRPr="00624100">
              <w:rPr>
                <w:color w:val="000000"/>
                <w:sz w:val="21"/>
                <w:szCs w:val="21"/>
              </w:rPr>
              <w:t>«</w:t>
            </w:r>
            <w:r w:rsidRPr="00624100">
              <w:rPr>
                <w:color w:val="000000"/>
                <w:sz w:val="21"/>
                <w:szCs w:val="21"/>
                <w:lang w:val="en-US"/>
              </w:rPr>
              <w:t>Microsoft</w:t>
            </w:r>
            <w:r w:rsidRPr="00624100">
              <w:rPr>
                <w:color w:val="000000"/>
                <w:sz w:val="21"/>
                <w:szCs w:val="21"/>
              </w:rPr>
              <w:t xml:space="preserve"> </w:t>
            </w:r>
            <w:r w:rsidRPr="00624100">
              <w:rPr>
                <w:color w:val="000000"/>
                <w:sz w:val="21"/>
                <w:szCs w:val="21"/>
                <w:lang w:val="en-US"/>
              </w:rPr>
              <w:t>Office</w:t>
            </w:r>
            <w:r w:rsidRPr="00624100">
              <w:rPr>
                <w:color w:val="000000"/>
                <w:sz w:val="21"/>
                <w:szCs w:val="21"/>
              </w:rPr>
              <w:t xml:space="preserve"> </w:t>
            </w:r>
            <w:r w:rsidRPr="00624100">
              <w:rPr>
                <w:color w:val="000000"/>
                <w:sz w:val="21"/>
                <w:szCs w:val="21"/>
                <w:lang w:val="en-US"/>
              </w:rPr>
              <w:t>Word</w:t>
            </w:r>
            <w:r w:rsidRPr="00624100">
              <w:rPr>
                <w:color w:val="000000"/>
                <w:sz w:val="21"/>
                <w:szCs w:val="21"/>
              </w:rPr>
              <w:t xml:space="preserve"> </w:t>
            </w:r>
            <w:r w:rsidRPr="00624100"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або аналогом, що відображатиметься у розділі </w:t>
            </w:r>
            <w:r w:rsidRPr="00624100">
              <w:rPr>
                <w:color w:val="000000"/>
                <w:sz w:val="21"/>
                <w:szCs w:val="21"/>
              </w:rPr>
              <w:t>«</w:t>
            </w:r>
            <w:r w:rsidRPr="00624100"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>Статистика</w:t>
            </w:r>
            <w:r w:rsidRPr="00624100">
              <w:rPr>
                <w:color w:val="000000"/>
                <w:sz w:val="21"/>
                <w:szCs w:val="21"/>
              </w:rPr>
              <w:t xml:space="preserve">» </w:t>
            </w:r>
            <w:r w:rsidRPr="00624100"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шляхом використання </w:t>
            </w:r>
            <w:proofErr w:type="spellStart"/>
            <w:r w:rsidRPr="00624100"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>клавіши</w:t>
            </w:r>
            <w:proofErr w:type="spellEnd"/>
            <w:r w:rsidRPr="00624100"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 </w:t>
            </w:r>
            <w:r w:rsidRPr="00624100">
              <w:rPr>
                <w:color w:val="000000"/>
                <w:sz w:val="21"/>
                <w:szCs w:val="21"/>
              </w:rPr>
              <w:t>«</w:t>
            </w:r>
            <w:r w:rsidRPr="00624100"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>Кількість слів</w:t>
            </w:r>
            <w:r w:rsidRPr="00624100">
              <w:rPr>
                <w:color w:val="000000"/>
                <w:sz w:val="21"/>
                <w:szCs w:val="21"/>
              </w:rPr>
              <w:t xml:space="preserve">», </w:t>
            </w:r>
            <w:r w:rsidRPr="00624100"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яка розташована у нижній частині вікна документа </w:t>
            </w:r>
            <w:r w:rsidRPr="00624100">
              <w:rPr>
                <w:color w:val="000000"/>
                <w:sz w:val="21"/>
                <w:szCs w:val="21"/>
              </w:rPr>
              <w:t>«</w:t>
            </w:r>
            <w:r w:rsidRPr="00624100">
              <w:rPr>
                <w:color w:val="000000"/>
                <w:sz w:val="21"/>
                <w:szCs w:val="21"/>
                <w:lang w:val="en-US"/>
              </w:rPr>
              <w:t>Word</w:t>
            </w:r>
            <w:r w:rsidRPr="00624100">
              <w:rPr>
                <w:color w:val="000000"/>
                <w:sz w:val="21"/>
                <w:szCs w:val="21"/>
              </w:rPr>
              <w:t xml:space="preserve">».  </w:t>
            </w:r>
          </w:p>
          <w:p w:rsidR="00624100" w:rsidRPr="00624100" w:rsidRDefault="00624100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color w:val="000000"/>
                <w:sz w:val="21"/>
                <w:szCs w:val="21"/>
              </w:rPr>
            </w:pPr>
          </w:p>
          <w:tbl>
            <w:tblPr>
              <w:tblW w:w="0" w:type="auto"/>
              <w:tblInd w:w="29" w:type="dxa"/>
              <w:tblCellMar>
                <w:left w:w="2" w:type="dxa"/>
                <w:right w:w="2" w:type="dxa"/>
              </w:tblCellMar>
              <w:tblLook w:val="0000"/>
            </w:tblPr>
            <w:tblGrid>
              <w:gridCol w:w="1301"/>
              <w:gridCol w:w="4511"/>
            </w:tblGrid>
            <w:tr w:rsidR="00624100" w:rsidRPr="00624100" w:rsidTr="00624100">
              <w:trPr>
                <w:trHeight w:val="260"/>
              </w:trPr>
              <w:tc>
                <w:tcPr>
                  <w:tcW w:w="13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il"/>
                  </w:tcBorders>
                  <w:shd w:val="clear" w:color="000000" w:fill="FFFFFF"/>
                </w:tcPr>
                <w:p w:rsidR="00624100" w:rsidRPr="00624100" w:rsidRDefault="00624100" w:rsidP="00624100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425"/>
                    <w:jc w:val="both"/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</w:pPr>
                  <w:r w:rsidRPr="00624100">
                    <w:rPr>
                      <w:rFonts w:ascii="Times New Roman" w:hAnsi="Times New Roman"/>
                      <w:sz w:val="21"/>
                      <w:szCs w:val="21"/>
                      <w:highlight w:val="white"/>
                    </w:rPr>
                    <w:t>Строк поставки</w:t>
                  </w:r>
                </w:p>
              </w:tc>
              <w:tc>
                <w:tcPr>
                  <w:tcW w:w="45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624100" w:rsidRPr="00083FE1" w:rsidRDefault="00624100" w:rsidP="00624100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425"/>
                    <w:jc w:val="both"/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</w:pPr>
                  <w:r w:rsidRPr="00624100">
                    <w:rPr>
                      <w:rFonts w:ascii="Times New Roman" w:hAnsi="Times New Roman"/>
                      <w:sz w:val="21"/>
                      <w:szCs w:val="21"/>
                      <w:highlight w:val="white"/>
                    </w:rPr>
                    <w:t>До 31.12.202</w:t>
                  </w:r>
                  <w:r w:rsidR="00083FE1"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  <w:t>6</w:t>
                  </w:r>
                </w:p>
              </w:tc>
            </w:tr>
            <w:tr w:rsidR="00624100" w:rsidRPr="00624100" w:rsidTr="00624100">
              <w:trPr>
                <w:trHeight w:val="300"/>
              </w:trPr>
              <w:tc>
                <w:tcPr>
                  <w:tcW w:w="13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il"/>
                  </w:tcBorders>
                  <w:shd w:val="clear" w:color="000000" w:fill="FFFFFF"/>
                </w:tcPr>
                <w:p w:rsidR="00624100" w:rsidRPr="00624100" w:rsidRDefault="00624100" w:rsidP="00624100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425"/>
                    <w:jc w:val="both"/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</w:pPr>
                  <w:r w:rsidRPr="00624100">
                    <w:rPr>
                      <w:rFonts w:ascii="Times New Roman" w:hAnsi="Times New Roman"/>
                      <w:sz w:val="21"/>
                      <w:szCs w:val="21"/>
                      <w:highlight w:val="white"/>
                    </w:rPr>
                    <w:t>Строк оплати</w:t>
                  </w:r>
                </w:p>
              </w:tc>
              <w:tc>
                <w:tcPr>
                  <w:tcW w:w="45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624100" w:rsidRPr="00624100" w:rsidRDefault="00624100" w:rsidP="0062410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4100">
                    <w:rPr>
                      <w:rFonts w:ascii="Times New Roman" w:hAnsi="Times New Roman"/>
                      <w:sz w:val="21"/>
                      <w:szCs w:val="21"/>
                      <w:highlight w:val="white"/>
                    </w:rPr>
                    <w:t xml:space="preserve">Протягом 10 банківських днів </w:t>
                  </w:r>
                  <w:r w:rsidRPr="00624100">
                    <w:rPr>
                      <w:rFonts w:ascii="Times New Roman" w:hAnsi="Times New Roman"/>
                      <w:sz w:val="21"/>
                      <w:szCs w:val="21"/>
                    </w:rPr>
                    <w:t>з дати надходження коштів з Державного бюджету України на реєстраційний рахунок Замовника</w:t>
                  </w:r>
                </w:p>
              </w:tc>
            </w:tr>
            <w:tr w:rsidR="00624100" w:rsidRPr="00624100" w:rsidTr="00624100">
              <w:trPr>
                <w:trHeight w:val="263"/>
              </w:trPr>
              <w:tc>
                <w:tcPr>
                  <w:tcW w:w="13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il"/>
                  </w:tcBorders>
                  <w:shd w:val="clear" w:color="000000" w:fill="FFFFFF"/>
                </w:tcPr>
                <w:p w:rsidR="00624100" w:rsidRPr="00624100" w:rsidRDefault="00624100" w:rsidP="00624100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425"/>
                    <w:jc w:val="both"/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</w:pPr>
                  <w:r w:rsidRPr="00624100">
                    <w:rPr>
                      <w:rFonts w:ascii="Times New Roman" w:hAnsi="Times New Roman"/>
                      <w:sz w:val="21"/>
                      <w:szCs w:val="21"/>
                      <w:highlight w:val="white"/>
                    </w:rPr>
                    <w:t>Кількість послуг</w:t>
                  </w:r>
                </w:p>
              </w:tc>
              <w:tc>
                <w:tcPr>
                  <w:tcW w:w="45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624100" w:rsidRPr="00624100" w:rsidRDefault="00F148A8" w:rsidP="00624100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425"/>
                    <w:jc w:val="both"/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highlight w:val="white"/>
                      <w:lang w:val="ru-RU"/>
                    </w:rPr>
                    <w:t>545</w:t>
                  </w:r>
                  <w:r w:rsidR="00624100" w:rsidRPr="00624100">
                    <w:rPr>
                      <w:rFonts w:ascii="Times New Roman" w:hAnsi="Times New Roman"/>
                      <w:sz w:val="21"/>
                      <w:szCs w:val="21"/>
                      <w:highlight w:val="white"/>
                      <w:lang w:val="ru-RU"/>
                    </w:rPr>
                    <w:t xml:space="preserve"> </w:t>
                  </w:r>
                  <w:r w:rsidR="00624100" w:rsidRPr="00624100">
                    <w:rPr>
                      <w:rFonts w:ascii="Times New Roman" w:hAnsi="Times New Roman"/>
                      <w:sz w:val="21"/>
                      <w:szCs w:val="21"/>
                      <w:highlight w:val="white"/>
                    </w:rPr>
                    <w:t>аркушів.</w:t>
                  </w:r>
                </w:p>
              </w:tc>
            </w:tr>
          </w:tbl>
          <w:p w:rsidR="00624100" w:rsidRPr="00624100" w:rsidRDefault="00624100" w:rsidP="00624100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  <w:p w:rsidR="00CD457E" w:rsidRPr="00624100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Послуги письмового перекладу надаються з іноземної на українську та  з української на іноземну мову.</w:t>
            </w:r>
          </w:p>
          <w:p w:rsidR="00CD457E" w:rsidRPr="00624100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hAnsi="Times New Roman CYR" w:cs="Times New Roman CYR"/>
                <w:bCs/>
                <w:sz w:val="21"/>
                <w:szCs w:val="21"/>
              </w:rPr>
            </w:pP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 xml:space="preserve">Для перекладу </w:t>
            </w:r>
            <w:r w:rsidRPr="00624100">
              <w:rPr>
                <w:rFonts w:ascii="Times New Roman CYR" w:hAnsi="Times New Roman CYR" w:cs="Times New Roman CYR"/>
                <w:bCs/>
                <w:sz w:val="21"/>
                <w:szCs w:val="21"/>
              </w:rPr>
              <w:t xml:space="preserve">надаватимуться спеціалізовані фахові тексти правової тематики,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що виключає встановлення додаткового коефіцієнту за тексти правової тематики.</w:t>
            </w:r>
          </w:p>
          <w:p w:rsidR="00CD457E" w:rsidRPr="00624100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hAnsi="Times New Roman CYR" w:cs="Times New Roman CYR"/>
                <w:bCs/>
                <w:sz w:val="21"/>
                <w:szCs w:val="21"/>
              </w:rPr>
            </w:pPr>
            <w:r w:rsidRPr="00624100">
              <w:rPr>
                <w:rFonts w:ascii="Times New Roman CYR" w:hAnsi="Times New Roman CYR" w:cs="Times New Roman CYR"/>
                <w:bCs/>
                <w:sz w:val="21"/>
                <w:szCs w:val="21"/>
              </w:rPr>
              <w:t xml:space="preserve">Інформація, що надається Замовником для перекладу, є конфіденційною. </w:t>
            </w:r>
          </w:p>
          <w:p w:rsidR="0052423C" w:rsidRPr="00624100" w:rsidRDefault="00873F6B" w:rsidP="0080143C">
            <w:pPr>
              <w:spacing w:after="0" w:line="240" w:lineRule="auto"/>
              <w:ind w:firstLine="709"/>
              <w:jc w:val="both"/>
              <w:rPr>
                <w:sz w:val="21"/>
                <w:szCs w:val="21"/>
                <w:lang w:val="ru-RU"/>
              </w:rPr>
            </w:pPr>
            <w:r w:rsidRPr="00624100">
              <w:rPr>
                <w:rFonts w:ascii="Times New Roman" w:hAnsi="Times New Roman"/>
                <w:sz w:val="21"/>
                <w:szCs w:val="21"/>
              </w:rPr>
              <w:t>Інші технічні, якісні характеристики предмету</w:t>
            </w:r>
            <w:r w:rsidR="00CD457E" w:rsidRPr="00624100">
              <w:rPr>
                <w:rFonts w:ascii="Times New Roman" w:hAnsi="Times New Roman"/>
                <w:sz w:val="21"/>
                <w:szCs w:val="21"/>
              </w:rPr>
              <w:t xml:space="preserve"> закупівлі зазначені в Додатку 5</w:t>
            </w:r>
            <w:r w:rsidRPr="00624100">
              <w:rPr>
                <w:rFonts w:ascii="Times New Roman" w:hAnsi="Times New Roman"/>
                <w:sz w:val="21"/>
                <w:szCs w:val="21"/>
              </w:rPr>
              <w:t xml:space="preserve"> до Ого</w:t>
            </w:r>
            <w:r w:rsidR="007F4441" w:rsidRPr="00624100">
              <w:rPr>
                <w:rFonts w:ascii="Times New Roman" w:hAnsi="Times New Roman"/>
                <w:sz w:val="21"/>
                <w:szCs w:val="21"/>
              </w:rPr>
              <w:t>лошення про проведення відкритих торгів з особливостями</w:t>
            </w:r>
            <w:r w:rsidRPr="00624100">
              <w:rPr>
                <w:rFonts w:ascii="Times New Roman" w:hAnsi="Times New Roman"/>
                <w:sz w:val="21"/>
                <w:szCs w:val="21"/>
              </w:rPr>
              <w:t>.</w:t>
            </w:r>
            <w:bookmarkStart w:id="0" w:name="_GoBack"/>
            <w:bookmarkEnd w:id="0"/>
          </w:p>
        </w:tc>
      </w:tr>
      <w:tr w:rsidR="00CF196E" w:rsidTr="00CD457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232" w:type="dxa"/>
            <w:vAlign w:val="center"/>
          </w:tcPr>
          <w:p w:rsidR="00CF196E" w:rsidRPr="00624100" w:rsidRDefault="00CF196E" w:rsidP="00A52A66">
            <w:pPr>
              <w:pStyle w:val="Standard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  <w:lang w:val="uk-UA"/>
              </w:rPr>
              <w:t>Очікувана вартість предмета закупівлі</w:t>
            </w:r>
          </w:p>
        </w:tc>
        <w:tc>
          <w:tcPr>
            <w:tcW w:w="6095" w:type="dxa"/>
            <w:vAlign w:val="center"/>
          </w:tcPr>
          <w:p w:rsidR="00CF196E" w:rsidRPr="00624100" w:rsidRDefault="00F148A8" w:rsidP="00F148A8">
            <w:pPr>
              <w:pStyle w:val="Standard"/>
              <w:jc w:val="both"/>
              <w:rPr>
                <w:bCs/>
                <w:sz w:val="21"/>
                <w:szCs w:val="21"/>
                <w:lang w:val="uk-UA"/>
              </w:rPr>
            </w:pPr>
            <w:r>
              <w:rPr>
                <w:bCs/>
                <w:sz w:val="21"/>
                <w:szCs w:val="21"/>
                <w:lang w:val="uk-UA"/>
              </w:rPr>
              <w:t>109 199</w:t>
            </w:r>
            <w:r w:rsidR="00FD52E2" w:rsidRPr="00624100">
              <w:rPr>
                <w:bCs/>
                <w:sz w:val="21"/>
                <w:szCs w:val="21"/>
                <w:lang w:val="uk-UA"/>
              </w:rPr>
              <w:t xml:space="preserve">, 00 </w:t>
            </w:r>
            <w:r w:rsidR="006D6A52" w:rsidRPr="00624100">
              <w:rPr>
                <w:bCs/>
                <w:sz w:val="21"/>
                <w:szCs w:val="21"/>
                <w:lang w:val="uk-UA"/>
              </w:rPr>
              <w:t>грн.</w:t>
            </w:r>
            <w:r w:rsidR="00861EF6" w:rsidRPr="00624100">
              <w:rPr>
                <w:bCs/>
                <w:sz w:val="21"/>
                <w:szCs w:val="21"/>
                <w:lang w:val="uk-UA"/>
              </w:rPr>
              <w:t xml:space="preserve"> </w:t>
            </w:r>
            <w:r w:rsidR="00374D22" w:rsidRPr="00624100">
              <w:rPr>
                <w:bCs/>
                <w:sz w:val="21"/>
                <w:szCs w:val="21"/>
                <w:lang w:val="uk-UA"/>
              </w:rPr>
              <w:t>(</w:t>
            </w:r>
            <w:r>
              <w:rPr>
                <w:bCs/>
                <w:sz w:val="21"/>
                <w:szCs w:val="21"/>
                <w:lang w:val="uk-UA"/>
              </w:rPr>
              <w:t>сто дев’ять</w:t>
            </w:r>
            <w:r w:rsidR="00CD457E" w:rsidRPr="00624100">
              <w:rPr>
                <w:bCs/>
                <w:sz w:val="21"/>
                <w:szCs w:val="21"/>
                <w:lang w:val="uk-UA"/>
              </w:rPr>
              <w:t xml:space="preserve"> тисяч </w:t>
            </w:r>
            <w:r>
              <w:rPr>
                <w:bCs/>
                <w:sz w:val="21"/>
                <w:szCs w:val="21"/>
                <w:lang w:val="uk-UA"/>
              </w:rPr>
              <w:t>сто дев’яносто дев’ять</w:t>
            </w:r>
            <w:r w:rsidR="00A06C66" w:rsidRPr="00624100">
              <w:rPr>
                <w:bCs/>
                <w:sz w:val="21"/>
                <w:szCs w:val="21"/>
                <w:lang w:val="uk-UA"/>
              </w:rPr>
              <w:t xml:space="preserve"> грн. 00 коп.) </w:t>
            </w:r>
            <w:r w:rsidR="00861EF6" w:rsidRPr="00624100">
              <w:rPr>
                <w:bCs/>
                <w:sz w:val="21"/>
                <w:szCs w:val="21"/>
                <w:lang w:val="uk-UA"/>
              </w:rPr>
              <w:t>з ПДВ</w:t>
            </w:r>
          </w:p>
        </w:tc>
      </w:tr>
      <w:tr w:rsidR="0044463B" w:rsidTr="00CD457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32" w:type="dxa"/>
          </w:tcPr>
          <w:p w:rsidR="0044463B" w:rsidRPr="00624100" w:rsidRDefault="0044463B" w:rsidP="00A52A66">
            <w:pPr>
              <w:pStyle w:val="Standard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095" w:type="dxa"/>
            <w:vAlign w:val="center"/>
          </w:tcPr>
          <w:p w:rsidR="000A6CA8" w:rsidRPr="00F148A8" w:rsidRDefault="00F148A8" w:rsidP="000A6CA8">
            <w:pPr>
              <w:pStyle w:val="Standard"/>
              <w:jc w:val="both"/>
              <w:rPr>
                <w:bCs/>
                <w:sz w:val="21"/>
                <w:szCs w:val="21"/>
                <w:lang w:val="uk-UA"/>
              </w:rPr>
            </w:pPr>
            <w:proofErr w:type="spellStart"/>
            <w:r w:rsidRPr="00F148A8">
              <w:rPr>
                <w:sz w:val="21"/>
                <w:szCs w:val="21"/>
              </w:rPr>
              <w:t>За</w:t>
            </w:r>
            <w:proofErr w:type="spellEnd"/>
            <w:r w:rsidRPr="00F148A8">
              <w:rPr>
                <w:sz w:val="21"/>
                <w:szCs w:val="21"/>
              </w:rPr>
              <w:t xml:space="preserve"> </w:t>
            </w:r>
            <w:proofErr w:type="spellStart"/>
            <w:r w:rsidRPr="00F148A8">
              <w:rPr>
                <w:sz w:val="21"/>
                <w:szCs w:val="21"/>
              </w:rPr>
              <w:t>умови</w:t>
            </w:r>
            <w:proofErr w:type="spellEnd"/>
            <w:r w:rsidRPr="00F148A8">
              <w:rPr>
                <w:sz w:val="21"/>
                <w:szCs w:val="21"/>
              </w:rPr>
              <w:t xml:space="preserve"> </w:t>
            </w:r>
            <w:proofErr w:type="spellStart"/>
            <w:r w:rsidRPr="00F148A8">
              <w:rPr>
                <w:sz w:val="21"/>
                <w:szCs w:val="21"/>
              </w:rPr>
              <w:t>подання</w:t>
            </w:r>
            <w:proofErr w:type="spellEnd"/>
            <w:r w:rsidRPr="00F148A8">
              <w:rPr>
                <w:sz w:val="21"/>
                <w:szCs w:val="21"/>
              </w:rPr>
              <w:t xml:space="preserve"> </w:t>
            </w:r>
            <w:proofErr w:type="spellStart"/>
            <w:r w:rsidRPr="00F148A8">
              <w:rPr>
                <w:sz w:val="21"/>
                <w:szCs w:val="21"/>
              </w:rPr>
              <w:t>заявки</w:t>
            </w:r>
            <w:proofErr w:type="spellEnd"/>
            <w:r w:rsidRPr="00F148A8">
              <w:rPr>
                <w:sz w:val="21"/>
                <w:szCs w:val="21"/>
              </w:rPr>
              <w:t xml:space="preserve"> </w:t>
            </w:r>
            <w:proofErr w:type="spellStart"/>
            <w:r w:rsidRPr="00F148A8">
              <w:rPr>
                <w:sz w:val="21"/>
                <w:szCs w:val="21"/>
              </w:rPr>
              <w:t>на</w:t>
            </w:r>
            <w:proofErr w:type="spellEnd"/>
            <w:r w:rsidRPr="00F148A8">
              <w:rPr>
                <w:sz w:val="21"/>
                <w:szCs w:val="21"/>
              </w:rPr>
              <w:t xml:space="preserve"> </w:t>
            </w:r>
            <w:proofErr w:type="spellStart"/>
            <w:r w:rsidRPr="00F148A8">
              <w:rPr>
                <w:sz w:val="21"/>
                <w:szCs w:val="21"/>
              </w:rPr>
              <w:t>проведення</w:t>
            </w:r>
            <w:proofErr w:type="spellEnd"/>
            <w:r w:rsidRPr="00F148A8">
              <w:rPr>
                <w:sz w:val="21"/>
                <w:szCs w:val="21"/>
              </w:rPr>
              <w:t xml:space="preserve"> </w:t>
            </w:r>
            <w:proofErr w:type="spellStart"/>
            <w:r w:rsidRPr="00F148A8">
              <w:rPr>
                <w:sz w:val="21"/>
                <w:szCs w:val="21"/>
              </w:rPr>
              <w:t>закупівлі</w:t>
            </w:r>
            <w:proofErr w:type="spellEnd"/>
            <w:r w:rsidRPr="00F148A8">
              <w:rPr>
                <w:sz w:val="21"/>
                <w:szCs w:val="21"/>
              </w:rPr>
              <w:t xml:space="preserve"> </w:t>
            </w:r>
            <w:proofErr w:type="spellStart"/>
            <w:r w:rsidRPr="00F148A8">
              <w:rPr>
                <w:sz w:val="21"/>
                <w:szCs w:val="21"/>
              </w:rPr>
              <w:t>відповідно</w:t>
            </w:r>
            <w:proofErr w:type="spellEnd"/>
            <w:r w:rsidRPr="00F148A8">
              <w:rPr>
                <w:sz w:val="21"/>
                <w:szCs w:val="21"/>
              </w:rPr>
              <w:t xml:space="preserve"> </w:t>
            </w:r>
            <w:proofErr w:type="spellStart"/>
            <w:r w:rsidRPr="00F148A8">
              <w:rPr>
                <w:sz w:val="21"/>
                <w:szCs w:val="21"/>
              </w:rPr>
              <w:t>до</w:t>
            </w:r>
            <w:proofErr w:type="spellEnd"/>
            <w:r w:rsidRPr="00F148A8">
              <w:rPr>
                <w:sz w:val="21"/>
                <w:szCs w:val="21"/>
              </w:rPr>
              <w:t xml:space="preserve"> </w:t>
            </w:r>
            <w:proofErr w:type="spellStart"/>
            <w:r w:rsidRPr="00F148A8">
              <w:rPr>
                <w:sz w:val="21"/>
                <w:szCs w:val="21"/>
              </w:rPr>
              <w:t>пропозицій</w:t>
            </w:r>
            <w:proofErr w:type="spellEnd"/>
            <w:r w:rsidRPr="00F148A8">
              <w:rPr>
                <w:sz w:val="21"/>
                <w:szCs w:val="21"/>
              </w:rPr>
              <w:t xml:space="preserve">, </w:t>
            </w:r>
            <w:proofErr w:type="spellStart"/>
            <w:r w:rsidRPr="00F148A8">
              <w:rPr>
                <w:sz w:val="21"/>
                <w:szCs w:val="21"/>
              </w:rPr>
              <w:t>які</w:t>
            </w:r>
            <w:proofErr w:type="spellEnd"/>
            <w:r w:rsidRPr="00F148A8">
              <w:rPr>
                <w:sz w:val="21"/>
                <w:szCs w:val="21"/>
              </w:rPr>
              <w:t xml:space="preserve"> </w:t>
            </w:r>
            <w:proofErr w:type="spellStart"/>
            <w:r w:rsidRPr="00F148A8">
              <w:rPr>
                <w:sz w:val="21"/>
                <w:szCs w:val="21"/>
              </w:rPr>
              <w:t>були</w:t>
            </w:r>
            <w:proofErr w:type="spellEnd"/>
            <w:r w:rsidRPr="00F148A8">
              <w:rPr>
                <w:sz w:val="21"/>
                <w:szCs w:val="21"/>
              </w:rPr>
              <w:t xml:space="preserve"> </w:t>
            </w:r>
            <w:proofErr w:type="spellStart"/>
            <w:r w:rsidRPr="00F148A8">
              <w:rPr>
                <w:sz w:val="21"/>
                <w:szCs w:val="21"/>
              </w:rPr>
              <w:t>надані</w:t>
            </w:r>
            <w:proofErr w:type="spellEnd"/>
            <w:r w:rsidRPr="00F148A8">
              <w:rPr>
                <w:sz w:val="21"/>
                <w:szCs w:val="21"/>
              </w:rPr>
              <w:t xml:space="preserve"> </w:t>
            </w:r>
            <w:proofErr w:type="spellStart"/>
            <w:r w:rsidRPr="00F148A8">
              <w:rPr>
                <w:sz w:val="21"/>
                <w:szCs w:val="21"/>
              </w:rPr>
              <w:t>та</w:t>
            </w:r>
            <w:proofErr w:type="spellEnd"/>
            <w:r w:rsidRPr="00F148A8">
              <w:rPr>
                <w:sz w:val="21"/>
                <w:szCs w:val="21"/>
              </w:rPr>
              <w:t xml:space="preserve"> </w:t>
            </w:r>
            <w:proofErr w:type="spellStart"/>
            <w:r w:rsidRPr="00F148A8">
              <w:rPr>
                <w:sz w:val="21"/>
                <w:szCs w:val="21"/>
              </w:rPr>
              <w:t>враховані</w:t>
            </w:r>
            <w:proofErr w:type="spellEnd"/>
            <w:r w:rsidRPr="00F148A8">
              <w:rPr>
                <w:sz w:val="21"/>
                <w:szCs w:val="21"/>
              </w:rPr>
              <w:t xml:space="preserve"> </w:t>
            </w:r>
            <w:proofErr w:type="spellStart"/>
            <w:r w:rsidRPr="00F148A8">
              <w:rPr>
                <w:sz w:val="21"/>
                <w:szCs w:val="21"/>
              </w:rPr>
              <w:t>під</w:t>
            </w:r>
            <w:proofErr w:type="spellEnd"/>
            <w:r w:rsidRPr="00F148A8">
              <w:rPr>
                <w:sz w:val="21"/>
                <w:szCs w:val="21"/>
              </w:rPr>
              <w:t xml:space="preserve"> </w:t>
            </w:r>
            <w:proofErr w:type="spellStart"/>
            <w:r w:rsidRPr="00F148A8">
              <w:rPr>
                <w:sz w:val="21"/>
                <w:szCs w:val="21"/>
              </w:rPr>
              <w:t>час</w:t>
            </w:r>
            <w:proofErr w:type="spellEnd"/>
            <w:r w:rsidRPr="00F148A8">
              <w:rPr>
                <w:sz w:val="21"/>
                <w:szCs w:val="21"/>
              </w:rPr>
              <w:t xml:space="preserve"> </w:t>
            </w:r>
            <w:proofErr w:type="spellStart"/>
            <w:r w:rsidRPr="00F148A8">
              <w:rPr>
                <w:sz w:val="21"/>
                <w:szCs w:val="21"/>
              </w:rPr>
              <w:t>формування</w:t>
            </w:r>
            <w:proofErr w:type="spellEnd"/>
            <w:r w:rsidRPr="00F148A8">
              <w:rPr>
                <w:sz w:val="21"/>
                <w:szCs w:val="21"/>
              </w:rPr>
              <w:t xml:space="preserve"> </w:t>
            </w:r>
            <w:proofErr w:type="spellStart"/>
            <w:r w:rsidRPr="00F148A8">
              <w:rPr>
                <w:sz w:val="21"/>
                <w:szCs w:val="21"/>
              </w:rPr>
              <w:t>бюджетного</w:t>
            </w:r>
            <w:proofErr w:type="spellEnd"/>
            <w:r w:rsidRPr="00F148A8">
              <w:rPr>
                <w:sz w:val="21"/>
                <w:szCs w:val="21"/>
              </w:rPr>
              <w:t xml:space="preserve"> </w:t>
            </w:r>
            <w:proofErr w:type="spellStart"/>
            <w:r w:rsidRPr="00F148A8">
              <w:rPr>
                <w:sz w:val="21"/>
                <w:szCs w:val="21"/>
              </w:rPr>
              <w:t>запиту</w:t>
            </w:r>
            <w:proofErr w:type="spellEnd"/>
            <w:r w:rsidRPr="00F148A8">
              <w:rPr>
                <w:sz w:val="21"/>
                <w:szCs w:val="21"/>
              </w:rPr>
              <w:t xml:space="preserve"> </w:t>
            </w:r>
            <w:proofErr w:type="spellStart"/>
            <w:r w:rsidRPr="00F148A8">
              <w:rPr>
                <w:sz w:val="21"/>
                <w:szCs w:val="21"/>
              </w:rPr>
              <w:t>на</w:t>
            </w:r>
            <w:proofErr w:type="spellEnd"/>
            <w:r w:rsidRPr="00F148A8">
              <w:rPr>
                <w:sz w:val="21"/>
                <w:szCs w:val="21"/>
              </w:rPr>
              <w:t xml:space="preserve"> </w:t>
            </w:r>
            <w:proofErr w:type="spellStart"/>
            <w:r w:rsidRPr="00F148A8">
              <w:rPr>
                <w:sz w:val="21"/>
                <w:szCs w:val="21"/>
              </w:rPr>
              <w:t>відповідний</w:t>
            </w:r>
            <w:proofErr w:type="spellEnd"/>
            <w:r w:rsidRPr="00F148A8">
              <w:rPr>
                <w:sz w:val="21"/>
                <w:szCs w:val="21"/>
              </w:rPr>
              <w:t xml:space="preserve"> </w:t>
            </w:r>
            <w:proofErr w:type="spellStart"/>
            <w:r w:rsidRPr="00F148A8">
              <w:rPr>
                <w:sz w:val="21"/>
                <w:szCs w:val="21"/>
              </w:rPr>
              <w:t>рік</w:t>
            </w:r>
            <w:proofErr w:type="spellEnd"/>
            <w:r w:rsidR="000A6CA8" w:rsidRPr="00F148A8">
              <w:rPr>
                <w:sz w:val="21"/>
                <w:szCs w:val="21"/>
              </w:rPr>
              <w:t>.</w:t>
            </w:r>
          </w:p>
          <w:p w:rsidR="000A6CA8" w:rsidRPr="00624100" w:rsidRDefault="000A6CA8" w:rsidP="00624100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24100">
              <w:rPr>
                <w:rFonts w:ascii="Times New Roman" w:hAnsi="Times New Roman"/>
                <w:sz w:val="21"/>
                <w:szCs w:val="21"/>
              </w:rPr>
              <w:t>Визначення очікуваної вартості предмета закупівлі обумовлено статистичним аналізом</w:t>
            </w:r>
            <w:r w:rsidRPr="00624100">
              <w:rPr>
                <w:sz w:val="21"/>
                <w:szCs w:val="21"/>
              </w:rPr>
              <w:t xml:space="preserve"> </w:t>
            </w:r>
            <w:r w:rsidRPr="00624100">
              <w:rPr>
                <w:rFonts w:ascii="Times New Roman" w:hAnsi="Times New Roman"/>
                <w:sz w:val="21"/>
                <w:szCs w:val="21"/>
              </w:rPr>
      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</w:t>
            </w:r>
            <w:r w:rsidR="00624100" w:rsidRPr="00624100">
              <w:rPr>
                <w:rFonts w:ascii="Times New Roman" w:hAnsi="Times New Roman"/>
                <w:sz w:val="21"/>
                <w:szCs w:val="21"/>
              </w:rPr>
              <w:t xml:space="preserve">нами та попередніми договорами </w:t>
            </w:r>
            <w:r w:rsidRPr="00624100">
              <w:rPr>
                <w:rFonts w:ascii="Times New Roman" w:hAnsi="Times New Roman"/>
                <w:sz w:val="21"/>
                <w:szCs w:val="21"/>
              </w:rPr>
              <w:t>в межах наявних кошторисних призначень.</w:t>
            </w:r>
          </w:p>
          <w:p w:rsidR="003A37B4" w:rsidRPr="00624100" w:rsidRDefault="000A6CA8" w:rsidP="000A6CA8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eastAsia="ja-JP" w:bidi="fa-IR"/>
              </w:rPr>
            </w:pPr>
            <w:r w:rsidRPr="00624100">
              <w:rPr>
                <w:rFonts w:ascii="Times New Roman" w:hAnsi="Times New Roman"/>
                <w:bCs/>
                <w:sz w:val="21"/>
                <w:szCs w:val="21"/>
              </w:rPr>
              <w:t>Розмір бюджетного призначення для предмета закупівлі відповідає розрахун</w:t>
            </w:r>
            <w:r w:rsidR="00083FE1">
              <w:rPr>
                <w:rFonts w:ascii="Times New Roman" w:hAnsi="Times New Roman"/>
                <w:bCs/>
                <w:sz w:val="21"/>
                <w:szCs w:val="21"/>
              </w:rPr>
              <w:t>ку видатків до кошторису на 2026</w:t>
            </w:r>
            <w:r w:rsidRPr="00624100">
              <w:rPr>
                <w:rFonts w:ascii="Times New Roman" w:hAnsi="Times New Roman"/>
                <w:bCs/>
                <w:sz w:val="21"/>
                <w:szCs w:val="21"/>
              </w:rPr>
              <w:t xml:space="preserve"> рік Київської митниці за КЕКВ 2240.</w:t>
            </w:r>
          </w:p>
        </w:tc>
      </w:tr>
    </w:tbl>
    <w:p w:rsidR="000F6610" w:rsidRPr="00CD457E" w:rsidRDefault="000F6610" w:rsidP="008559CE">
      <w:pPr>
        <w:pStyle w:val="Default"/>
        <w:jc w:val="both"/>
        <w:rPr>
          <w:sz w:val="16"/>
          <w:szCs w:val="16"/>
        </w:rPr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0F6610" w:rsidRDefault="000F6610" w:rsidP="008559CE">
      <w:pPr>
        <w:pStyle w:val="Default"/>
        <w:jc w:val="both"/>
        <w:rPr>
          <w:sz w:val="16"/>
          <w:szCs w:val="16"/>
        </w:rPr>
      </w:pPr>
    </w:p>
    <w:p w:rsidR="00624100" w:rsidRPr="00CD457E" w:rsidRDefault="00624100" w:rsidP="008559CE">
      <w:pPr>
        <w:pStyle w:val="Default"/>
        <w:jc w:val="both"/>
        <w:rPr>
          <w:sz w:val="16"/>
          <w:szCs w:val="16"/>
        </w:rPr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3902BB" w:rsidRPr="006F1184" w:rsidRDefault="008559CE" w:rsidP="00CD457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622" w:rsidRDefault="001C0622">
      <w:pPr>
        <w:spacing w:line="240" w:lineRule="auto"/>
      </w:pPr>
      <w:r>
        <w:separator/>
      </w:r>
    </w:p>
  </w:endnote>
  <w:endnote w:type="continuationSeparator" w:id="0">
    <w:p w:rsidR="001C0622" w:rsidRDefault="001C062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622" w:rsidRDefault="001C0622">
      <w:pPr>
        <w:spacing w:line="240" w:lineRule="auto"/>
      </w:pPr>
      <w:r>
        <w:separator/>
      </w:r>
    </w:p>
  </w:footnote>
  <w:footnote w:type="continuationSeparator" w:id="0">
    <w:p w:rsidR="001C0622" w:rsidRDefault="001C06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7226064"/>
    <w:lvl w:ilvl="0">
      <w:numFmt w:val="bullet"/>
      <w:lvlText w:val="*"/>
      <w:lvlJc w:val="left"/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83FE1"/>
    <w:rsid w:val="00093AE1"/>
    <w:rsid w:val="000A6CA8"/>
    <w:rsid w:val="000B0065"/>
    <w:rsid w:val="000B69D9"/>
    <w:rsid w:val="000C4128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C0622"/>
    <w:rsid w:val="001D1201"/>
    <w:rsid w:val="001D6A80"/>
    <w:rsid w:val="001E45D5"/>
    <w:rsid w:val="001F74C8"/>
    <w:rsid w:val="00200F34"/>
    <w:rsid w:val="00204EE3"/>
    <w:rsid w:val="00211FFE"/>
    <w:rsid w:val="0029579B"/>
    <w:rsid w:val="002B1D67"/>
    <w:rsid w:val="002B2767"/>
    <w:rsid w:val="002D2AC5"/>
    <w:rsid w:val="002F3886"/>
    <w:rsid w:val="00316C87"/>
    <w:rsid w:val="00327DD8"/>
    <w:rsid w:val="00344B5B"/>
    <w:rsid w:val="0035353A"/>
    <w:rsid w:val="00353892"/>
    <w:rsid w:val="00354109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4E42F9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8192B"/>
    <w:rsid w:val="0059489B"/>
    <w:rsid w:val="005A21BD"/>
    <w:rsid w:val="005B4276"/>
    <w:rsid w:val="005F4C5C"/>
    <w:rsid w:val="00615E2C"/>
    <w:rsid w:val="00624100"/>
    <w:rsid w:val="00626A2F"/>
    <w:rsid w:val="006314DA"/>
    <w:rsid w:val="006331FF"/>
    <w:rsid w:val="00670888"/>
    <w:rsid w:val="006712B5"/>
    <w:rsid w:val="00675CA7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1CC6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0E49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A029F"/>
    <w:rsid w:val="009C2252"/>
    <w:rsid w:val="009D43D9"/>
    <w:rsid w:val="009D6DBD"/>
    <w:rsid w:val="00A06C66"/>
    <w:rsid w:val="00A17740"/>
    <w:rsid w:val="00A20E4E"/>
    <w:rsid w:val="00A31276"/>
    <w:rsid w:val="00A474D7"/>
    <w:rsid w:val="00A52A66"/>
    <w:rsid w:val="00A55494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9734D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57AB2"/>
    <w:rsid w:val="00C758C2"/>
    <w:rsid w:val="00C85A9F"/>
    <w:rsid w:val="00CC3F49"/>
    <w:rsid w:val="00CD457E"/>
    <w:rsid w:val="00CE1A06"/>
    <w:rsid w:val="00CF196E"/>
    <w:rsid w:val="00CF1D65"/>
    <w:rsid w:val="00D31398"/>
    <w:rsid w:val="00D407F5"/>
    <w:rsid w:val="00D51E23"/>
    <w:rsid w:val="00D64230"/>
    <w:rsid w:val="00D73890"/>
    <w:rsid w:val="00DA5882"/>
    <w:rsid w:val="00DD2E68"/>
    <w:rsid w:val="00DE1144"/>
    <w:rsid w:val="00DF3088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D38DF"/>
    <w:rsid w:val="00F12AAB"/>
    <w:rsid w:val="00F148A8"/>
    <w:rsid w:val="00F43D58"/>
    <w:rsid w:val="00F6329F"/>
    <w:rsid w:val="00F63972"/>
    <w:rsid w:val="00F70110"/>
    <w:rsid w:val="00F73271"/>
    <w:rsid w:val="00F81167"/>
    <w:rsid w:val="00FB3029"/>
    <w:rsid w:val="00FD52E2"/>
    <w:rsid w:val="00FE061B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6-03-05-00121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3316</Words>
  <Characters>1891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6</cp:revision>
  <cp:lastPrinted>2026-03-05T12:08:00Z</cp:lastPrinted>
  <dcterms:created xsi:type="dcterms:W3CDTF">2025-01-30T07:28:00Z</dcterms:created>
  <dcterms:modified xsi:type="dcterms:W3CDTF">2026-03-05T12:08:00Z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