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462623">
        <w:rPr>
          <w:sz w:val="24"/>
          <w:szCs w:val="24"/>
          <w:u w:val="single"/>
          <w:lang w:val="ru-RU"/>
        </w:rPr>
        <w:t>6</w:t>
      </w:r>
      <w:r w:rsidRPr="006F557D">
        <w:rPr>
          <w:sz w:val="24"/>
          <w:szCs w:val="24"/>
          <w:u w:val="single"/>
          <w:lang w:val="ru-RU"/>
        </w:rPr>
        <w:t>-</w:t>
      </w:r>
      <w:r w:rsidR="004403BD">
        <w:rPr>
          <w:sz w:val="24"/>
          <w:szCs w:val="24"/>
          <w:u w:val="single"/>
        </w:rPr>
        <w:t>0</w:t>
      </w:r>
      <w:r w:rsidR="009E0466">
        <w:rPr>
          <w:sz w:val="24"/>
          <w:szCs w:val="24"/>
          <w:u w:val="single"/>
        </w:rPr>
        <w:t>3</w:t>
      </w:r>
      <w:r w:rsidRPr="006F557D">
        <w:rPr>
          <w:sz w:val="24"/>
          <w:szCs w:val="24"/>
          <w:u w:val="single"/>
          <w:lang w:val="ru-RU"/>
        </w:rPr>
        <w:t>-</w:t>
      </w:r>
      <w:r w:rsidR="004403BD" w:rsidRPr="009E0466">
        <w:rPr>
          <w:sz w:val="24"/>
          <w:szCs w:val="24"/>
          <w:u w:val="single"/>
        </w:rPr>
        <w:t>10</w:t>
      </w:r>
      <w:r w:rsidRPr="009E0466">
        <w:rPr>
          <w:sz w:val="24"/>
          <w:szCs w:val="24"/>
          <w:u w:val="single"/>
          <w:lang w:val="ru-RU"/>
        </w:rPr>
        <w:t>-</w:t>
      </w:r>
      <w:r w:rsidR="009E0466" w:rsidRPr="009E0466">
        <w:rPr>
          <w:sz w:val="24"/>
          <w:szCs w:val="24"/>
          <w:u w:val="single"/>
          <w:lang w:val="ru-RU"/>
        </w:rPr>
        <w:t>009874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462623" w:rsidRDefault="00462623" w:rsidP="0055505C">
      <w:pPr>
        <w:jc w:val="both"/>
        <w:outlineLvl w:val="0"/>
        <w:rPr>
          <w:sz w:val="24"/>
          <w:szCs w:val="24"/>
        </w:rPr>
      </w:pPr>
      <w:r w:rsidRPr="00462623">
        <w:rPr>
          <w:sz w:val="24"/>
          <w:szCs w:val="24"/>
        </w:rPr>
        <w:t>Послуги з постачання оновлень програмного продукту «MASTER: Комплексний облік для бюджетних установ» та послуг з супроводження та технічної підтримки програмного продукту «MASTER: Комплексний облік для бюджетних установ» за кодом ДК 021:2015 – 72260000-5 «Послуги, пов’язані з програмним забезпеченням»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4403BD" w:rsidRPr="004403BD" w:rsidRDefault="00462623" w:rsidP="00462623">
      <w:pPr>
        <w:pStyle w:val="a7"/>
        <w:keepNext/>
        <w:rPr>
          <w:rFonts w:ascii="Times New Roman" w:hAnsi="Times New Roman" w:cs="Times New Roman"/>
          <w:sz w:val="24"/>
        </w:rPr>
      </w:pPr>
      <w:r w:rsidRPr="00462623">
        <w:rPr>
          <w:rFonts w:ascii="Times New Roman" w:hAnsi="Times New Roman" w:cs="Times New Roman"/>
          <w:sz w:val="24"/>
        </w:rPr>
        <w:t>з метою автоматизації процесів за бухгалтерським напрямком</w:t>
      </w:r>
      <w:r>
        <w:rPr>
          <w:rFonts w:ascii="Times New Roman" w:hAnsi="Times New Roman" w:cs="Times New Roman"/>
          <w:sz w:val="24"/>
        </w:rPr>
        <w:t xml:space="preserve"> </w:t>
      </w:r>
      <w:r w:rsidRPr="00462623">
        <w:rPr>
          <w:rFonts w:ascii="Times New Roman" w:hAnsi="Times New Roman" w:cs="Times New Roman"/>
          <w:sz w:val="24"/>
        </w:rPr>
        <w:t>бухгалтерські служби Держмитслужби та її територіальних органів у своїй роботі</w:t>
      </w:r>
      <w:r>
        <w:rPr>
          <w:rFonts w:ascii="Times New Roman" w:hAnsi="Times New Roman" w:cs="Times New Roman"/>
          <w:sz w:val="24"/>
        </w:rPr>
        <w:t xml:space="preserve"> </w:t>
      </w:r>
      <w:r w:rsidRPr="00462623">
        <w:rPr>
          <w:rFonts w:ascii="Times New Roman" w:hAnsi="Times New Roman" w:cs="Times New Roman"/>
          <w:sz w:val="24"/>
        </w:rPr>
        <w:t>використовують програмний продукт «MASTER: Комплексний облік для бюджетних</w:t>
      </w:r>
      <w:r>
        <w:rPr>
          <w:rFonts w:ascii="Times New Roman" w:hAnsi="Times New Roman" w:cs="Times New Roman"/>
          <w:sz w:val="24"/>
        </w:rPr>
        <w:t xml:space="preserve"> </w:t>
      </w:r>
      <w:r w:rsidRPr="00462623">
        <w:rPr>
          <w:rFonts w:ascii="Times New Roman" w:hAnsi="Times New Roman" w:cs="Times New Roman"/>
          <w:sz w:val="24"/>
        </w:rPr>
        <w:t>установ» (положення наказу Державної митної служби України від 12.01.2021 № 13 «Про</w:t>
      </w:r>
      <w:r>
        <w:rPr>
          <w:rFonts w:ascii="Times New Roman" w:hAnsi="Times New Roman" w:cs="Times New Roman"/>
          <w:sz w:val="24"/>
        </w:rPr>
        <w:t xml:space="preserve"> </w:t>
      </w:r>
      <w:r w:rsidRPr="00462623">
        <w:rPr>
          <w:rFonts w:ascii="Times New Roman" w:hAnsi="Times New Roman" w:cs="Times New Roman"/>
          <w:sz w:val="24"/>
        </w:rPr>
        <w:t>введення в дослідну експлуатацію автоматизованої системи обліку та документообігу»).</w:t>
      </w:r>
      <w:r>
        <w:rPr>
          <w:rFonts w:ascii="Times New Roman" w:hAnsi="Times New Roman" w:cs="Times New Roman"/>
          <w:sz w:val="24"/>
        </w:rPr>
        <w:t xml:space="preserve"> </w:t>
      </w:r>
      <w:r w:rsidRPr="00462623">
        <w:rPr>
          <w:rFonts w:ascii="Times New Roman" w:hAnsi="Times New Roman" w:cs="Times New Roman"/>
          <w:sz w:val="24"/>
        </w:rPr>
        <w:t>Для повноцінного використання зазначеного програмного продукту бухгалтерською</w:t>
      </w:r>
      <w:r>
        <w:rPr>
          <w:rFonts w:ascii="Times New Roman" w:hAnsi="Times New Roman" w:cs="Times New Roman"/>
          <w:sz w:val="24"/>
        </w:rPr>
        <w:t xml:space="preserve"> </w:t>
      </w:r>
      <w:r w:rsidRPr="00462623">
        <w:rPr>
          <w:rFonts w:ascii="Times New Roman" w:hAnsi="Times New Roman" w:cs="Times New Roman"/>
          <w:sz w:val="24"/>
        </w:rPr>
        <w:t>службою Держмитслужби та її територіальних органів протягом 2026 року необхідно</w:t>
      </w:r>
      <w:r>
        <w:rPr>
          <w:rFonts w:ascii="Times New Roman" w:hAnsi="Times New Roman" w:cs="Times New Roman"/>
          <w:sz w:val="24"/>
        </w:rPr>
        <w:t xml:space="preserve"> </w:t>
      </w:r>
      <w:r w:rsidRPr="00462623">
        <w:rPr>
          <w:rFonts w:ascii="Times New Roman" w:hAnsi="Times New Roman" w:cs="Times New Roman"/>
          <w:sz w:val="24"/>
        </w:rPr>
        <w:t>забезпечити оновлення, супроводження та технічну підтримку програмного продукту</w:t>
      </w:r>
      <w:r>
        <w:rPr>
          <w:rFonts w:ascii="Times New Roman" w:hAnsi="Times New Roman" w:cs="Times New Roman"/>
          <w:sz w:val="24"/>
        </w:rPr>
        <w:t xml:space="preserve"> </w:t>
      </w:r>
      <w:r w:rsidRPr="00462623">
        <w:rPr>
          <w:rFonts w:ascii="Times New Roman" w:hAnsi="Times New Roman" w:cs="Times New Roman"/>
          <w:sz w:val="24"/>
        </w:rPr>
        <w:t>«MASTER: Комплексний облік для бюджетних установ»</w:t>
      </w:r>
      <w:r w:rsidR="004403BD" w:rsidRPr="004403BD">
        <w:rPr>
          <w:rFonts w:ascii="Times New Roman" w:hAnsi="Times New Roman" w:cs="Times New Roman"/>
          <w:sz w:val="24"/>
        </w:rPr>
        <w:t>.</w:t>
      </w:r>
    </w:p>
    <w:p w:rsidR="0055505C" w:rsidRPr="0055505C" w:rsidRDefault="0055505C" w:rsidP="005550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3718E" w:rsidRPr="00D56785" w:rsidRDefault="00D56785" w:rsidP="004403BD">
      <w:pPr>
        <w:ind w:left="426" w:firstLine="14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4403BD" w:rsidRDefault="00462623" w:rsidP="00462623">
      <w:pPr>
        <w:pStyle w:val="a7"/>
        <w:tabs>
          <w:tab w:val="num" w:pos="851"/>
        </w:tabs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62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обсяги закупівлі визначено відповідно до наявної потреби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62623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Державної митної служби України необхідної для забезпечення повноцінного використання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62623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Держмитслужбою та її територіальними органами функціоналу програмного продукту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62623">
        <w:rPr>
          <w:rFonts w:ascii="Times New Roman" w:eastAsiaTheme="minorHAnsi" w:hAnsi="Times New Roman" w:cs="Times New Roman"/>
          <w:sz w:val="24"/>
          <w:szCs w:val="24"/>
          <w:lang w:eastAsia="en-US"/>
        </w:rPr>
        <w:t>«MASTER: Комплексний облік для бюджетних установ».</w:t>
      </w:r>
    </w:p>
    <w:p w:rsidR="0055505C" w:rsidRPr="00496F3A" w:rsidRDefault="009B5358" w:rsidP="004403BD">
      <w:pPr>
        <w:pStyle w:val="a7"/>
        <w:keepNext/>
        <w:tabs>
          <w:tab w:val="clear" w:pos="1134"/>
        </w:tabs>
        <w:spacing w:before="0" w:after="0"/>
        <w:rPr>
          <w:b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</w:t>
      </w:r>
      <w:r w:rsidR="004403BD" w:rsidRPr="004403BD">
        <w:rPr>
          <w:rFonts w:ascii="Times New Roman" w:hAnsi="Times New Roman" w:cs="Times New Roman"/>
          <w:sz w:val="24"/>
        </w:rPr>
        <w:t xml:space="preserve">якісні характеристики повинні відповідати вимогам, що зазвичай пред’являються до даного виду продукції, та встановленим показникам якості відповідно до діючих в Україні національних стандартів (зокрема: ДСТУ ISO/IEC/IEEE 12207:2018 (ISO/IEC/IEEE 12207:2017, IDT) «Інженерія систем і програмних засобів. Процеси життєвого циклу програмних засобів»; ДСТУ ISO/IEC 14764:2014 «Інженерія програмного забезпечення. Процеси життєвого циклу програмного забезпечення. Технічне обслуговування» (ISO/IEC 14764:2006, IDT); ДСТУ ISO/IEC/IEEE 15288:2016 (ISO/IEC/IEEE 15288:2015, IDT) «Інженерія систем і програмного забезпечення. Процеси життєвого циклу систем»), технічних умов, нормативно-правових актів, інших нормативно-технічних документів, які встановлюють вимоги до показників якості такого роду/виду послуги, </w:t>
      </w:r>
      <w:r w:rsidR="004403BD" w:rsidRPr="004403BD">
        <w:rPr>
          <w:rFonts w:ascii="Times New Roman" w:hAnsi="Times New Roman" w:cs="Times New Roman"/>
          <w:sz w:val="24"/>
        </w:rPr>
        <w:lastRenderedPageBreak/>
        <w:t>та повинна забезпечувати належне використання ПЗ за його функціональним призначенням, а також відповідно до умов Договору та Технічних вимог надання Послуг.</w:t>
      </w:r>
    </w:p>
    <w:p w:rsidR="00307378" w:rsidRPr="00307378" w:rsidRDefault="00307378" w:rsidP="004403B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  <w:lang w:eastAsia="uk-UA"/>
        </w:rPr>
      </w:pPr>
      <w:r w:rsidRPr="00307378">
        <w:rPr>
          <w:b/>
          <w:bCs/>
          <w:color w:val="000000" w:themeColor="text1"/>
          <w:sz w:val="24"/>
          <w:szCs w:val="24"/>
          <w:lang w:eastAsia="uk-UA"/>
        </w:rPr>
        <w:t xml:space="preserve">5. 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Обґрунтування очікуваної вартості закупівлі: </w:t>
      </w:r>
      <w:r w:rsidR="00462623">
        <w:rPr>
          <w:rFonts w:ascii="TimesNewRomanPSMT" w:hAnsi="TimesNewRomanPSMT" w:cs="TimesNewRomanPSMT"/>
          <w:sz w:val="24"/>
          <w:szCs w:val="24"/>
        </w:rPr>
        <w:t>1 423 590</w:t>
      </w:r>
      <w:r w:rsidRPr="00307378">
        <w:rPr>
          <w:rFonts w:ascii="TimesNewRomanPSMT" w:hAnsi="TimesNewRomanPSMT" w:cs="TimesNewRomanPSMT"/>
          <w:sz w:val="24"/>
          <w:szCs w:val="24"/>
        </w:rPr>
        <w:t>,00 гривень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Вартість послуг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р. № 275, а саме </w:t>
      </w:r>
      <w:r w:rsidR="004403BD" w:rsidRPr="004403BD">
        <w:rPr>
          <w:sz w:val="24"/>
          <w:szCs w:val="24"/>
        </w:rPr>
        <w:t xml:space="preserve">очікувана вартість предмета закупівлі розрахована за методом порівняння ринкових цін та визначення </w:t>
      </w:r>
      <w:proofErr w:type="spellStart"/>
      <w:r w:rsidR="004403BD" w:rsidRPr="004403BD">
        <w:rPr>
          <w:sz w:val="24"/>
          <w:szCs w:val="24"/>
        </w:rPr>
        <w:t>середньоринкової</w:t>
      </w:r>
      <w:proofErr w:type="spellEnd"/>
      <w:r w:rsidR="004403BD" w:rsidRPr="004403BD">
        <w:rPr>
          <w:sz w:val="24"/>
          <w:szCs w:val="24"/>
        </w:rPr>
        <w:t xml:space="preserve"> ціни на підставі комерційних пропозицій</w:t>
      </w:r>
      <w:r w:rsidR="00B10A56">
        <w:rPr>
          <w:sz w:val="24"/>
          <w:szCs w:val="24"/>
        </w:rPr>
        <w:t>.</w:t>
      </w:r>
      <w:r w:rsidR="004403BD" w:rsidRPr="00307378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4403BD" w:rsidRDefault="004403BD" w:rsidP="004403BD">
      <w:pPr>
        <w:widowControl w:val="0"/>
        <w:ind w:firstLine="720"/>
        <w:jc w:val="center"/>
        <w:rPr>
          <w:sz w:val="24"/>
          <w:szCs w:val="24"/>
        </w:rPr>
      </w:pPr>
    </w:p>
    <w:p w:rsidR="004403BD" w:rsidRPr="004403BD" w:rsidRDefault="004403BD" w:rsidP="004403BD">
      <w:pPr>
        <w:widowControl w:val="0"/>
        <w:ind w:firstLine="720"/>
        <w:jc w:val="center"/>
        <w:rPr>
          <w:sz w:val="24"/>
          <w:szCs w:val="24"/>
        </w:rPr>
      </w:pPr>
      <w:r w:rsidRPr="004403BD">
        <w:rPr>
          <w:sz w:val="24"/>
          <w:szCs w:val="24"/>
        </w:rPr>
        <w:t>ТЕХНІЧНІ ВИМОГИ НАДАННЯ ПОСЛУГ</w:t>
      </w:r>
    </w:p>
    <w:p w:rsidR="004403BD" w:rsidRPr="004403BD" w:rsidRDefault="004403BD" w:rsidP="004403BD">
      <w:pPr>
        <w:widowControl w:val="0"/>
        <w:tabs>
          <w:tab w:val="left" w:pos="1134"/>
        </w:tabs>
        <w:rPr>
          <w:sz w:val="24"/>
          <w:szCs w:val="24"/>
        </w:rPr>
      </w:pP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t>1. Послуги з постачання оновлень програмного продукту «MASTER: Комплексний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облік для бюджетних установ».</w:t>
      </w: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t>Виконавець повинен здійснити постачання оновлень програмного продукту «MASTER: Комплексний облік для бюджетних установ», що є результатом створення нових редакцій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(релізів) програмного продукту в рамках існуючої версії (далі – Оновлення). Оновлення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постачаються шляхом надання Виконавцем доступу Замовнику до ресурсу (серверу) в мережі</w:t>
      </w: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t>Інтернет, на якому розміщуються Оновлення. Разом з Оновленням на ресурсах виконавця має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бути наявним список змін, що відбулися в функціоналі програмного продукту.</w:t>
      </w:r>
    </w:p>
    <w:p w:rsidR="009E0466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t>При цьому враховується, що оновлення алгоритму проведення розрахунків в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програмному продукті здійснюється не пізніше 10 робочих днів з дня набрання чинності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відповідних змін в законодавстві.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Якість Оновлень повинна відповідати умовам Договору та цим Технічним вимогам.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Виконавець відповідає за неналежне функціонування програмного продукту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«MASTER: Комплексний облік для бюджетних установ», а саме збій, що призвів до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аварійного завершення функціонування або некоректного функціонування зазначеного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програмного продукту, що виник у зв’язку із встановленням переданих Замовнику Оновлень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протягом гарантійного строку (далі – гарантійний випадок).</w:t>
      </w:r>
      <w:r>
        <w:rPr>
          <w:sz w:val="24"/>
          <w:szCs w:val="24"/>
        </w:rPr>
        <w:t xml:space="preserve"> </w:t>
      </w:r>
      <w:r w:rsidR="009E0466" w:rsidRPr="009E0466">
        <w:rPr>
          <w:sz w:val="24"/>
          <w:szCs w:val="24"/>
        </w:rPr>
        <w:t xml:space="preserve">Гарантійний строк починається з дня підписання відповідного </w:t>
      </w:r>
      <w:proofErr w:type="spellStart"/>
      <w:r w:rsidR="009E0466" w:rsidRPr="009E0466">
        <w:rPr>
          <w:sz w:val="24"/>
          <w:szCs w:val="24"/>
        </w:rPr>
        <w:t>акта</w:t>
      </w:r>
      <w:proofErr w:type="spellEnd"/>
      <w:r w:rsidR="009E0466" w:rsidRPr="009E0466">
        <w:rPr>
          <w:sz w:val="24"/>
          <w:szCs w:val="24"/>
        </w:rPr>
        <w:t xml:space="preserve"> приймання-передачі послуг та діє протягом усього строку дії права використання примірників та пакетів оновлень програмного продукту «MASTER: Комплексний облік для бюджетних установ».</w:t>
      </w: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bookmarkStart w:id="0" w:name="_GoBack"/>
      <w:bookmarkEnd w:id="0"/>
      <w:r w:rsidRPr="00462623">
        <w:rPr>
          <w:sz w:val="24"/>
          <w:szCs w:val="24"/>
        </w:rPr>
        <w:t>Виконавець протягом гарантійного строку зобов’язаний: відслідковувати звернення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уповноважених представників Замовника (зокрема адміністраторів АСАОД) щодо усунення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гарантійних випадків, що надійшли на адресу електронної пошти ___________ та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забезпечити зворотній зв’язок з уповноваженими представниками Замовника; призначати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відповідальних осіб за усунення гарантійних випадків; реагувати на звернення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уповноважених представників Замовника щодо усунення гарантійних випадків і виправляти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їх у строк не більше 10 (десяти) робочих днів або в інший погоджений сторонами строк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Про настання гарантійного випадку уповноваженим представником Замовника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складається протокол, в якому описується гарантійний випадок, час його виявлення та час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звернення щодо усунення гарантійного випадку. Протокол в електронній формі або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сканована копія протоколу направляється Замовником на адресу електронної пошти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____________, негайно, але не пізніше 1 (одного) робочого дня, наступного за днем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виявлення гарантійного випадку.</w:t>
      </w: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t>Винагорода Виконавцю з усунення гарантійних випадків входить у ціну Договору та не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потребує додаткової оплати Замовником.</w:t>
      </w: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t>2. Послуги з супроводження та технічної підтримки програмного продукту «MASTER».</w:t>
      </w: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t>Послуги з супроводження та технічної підтримки надаються на підставі звернень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Замовника, надісланих на адресу електронної пошти (повідомлення необхідно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надсилати тільки з адрес, які зареєстровані Замовником на веб-сервісі).</w:t>
      </w: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t>Звернення повинно містити перелік та обсяг послуг, який підлягає наданню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Виконавцем, або опис проблеми, яка самостійно не може бути усунута користувачем.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Звернення не повинні стосуватись питань, віднесених до гарантійної підтримки програмного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продукту «MASTER».</w:t>
      </w: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t>Термін розгляду Виконавцем звернення Замовника не може перевищувати</w:t>
      </w:r>
      <w:r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4 (чотири) робочі дні, починаючи з наступного робочого дня після одержання звернення.</w:t>
      </w:r>
    </w:p>
    <w:p w:rsidR="00462623" w:rsidRPr="00462623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</w:rPr>
      </w:pPr>
      <w:r w:rsidRPr="00462623">
        <w:rPr>
          <w:sz w:val="24"/>
          <w:szCs w:val="24"/>
        </w:rPr>
        <w:lastRenderedPageBreak/>
        <w:t>Про результати розгляду звернення та строки надання відповідних послуг Виконавець</w:t>
      </w:r>
      <w:r w:rsidR="007647A7"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інформує Замовника у спосіб, аналогічний отриманню звернення. У разі неможливості</w:t>
      </w:r>
      <w:r w:rsidR="00B10A56">
        <w:rPr>
          <w:sz w:val="24"/>
          <w:szCs w:val="24"/>
        </w:rPr>
        <w:t xml:space="preserve">  </w:t>
      </w:r>
      <w:r w:rsidRPr="00462623">
        <w:rPr>
          <w:sz w:val="24"/>
          <w:szCs w:val="24"/>
        </w:rPr>
        <w:t>розгляду Виконавцем звернення у зазначений строк з незалежних від Виконавця причин,</w:t>
      </w:r>
      <w:r w:rsidR="00B10A56"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строк розгляду звернення переноситься на відповідний строк затримки, якщо інше не буде</w:t>
      </w:r>
      <w:r w:rsidR="00B10A56"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узгоджено письмово між Виконавцем і Замовником. Запити на конфігурацію,</w:t>
      </w:r>
      <w:r w:rsidR="00B10A56"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доопрацювання (адаптацію) або розробку звітних форм можуть містити малюнки форм з</w:t>
      </w:r>
      <w:r w:rsidR="00B10A56"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описом правил розрахунку виведеної інформації.</w:t>
      </w:r>
    </w:p>
    <w:p w:rsidR="004403BD" w:rsidRPr="004403BD" w:rsidRDefault="00462623" w:rsidP="00462623">
      <w:pPr>
        <w:tabs>
          <w:tab w:val="left" w:pos="1134"/>
        </w:tabs>
        <w:ind w:firstLine="560"/>
        <w:jc w:val="both"/>
        <w:rPr>
          <w:sz w:val="24"/>
          <w:szCs w:val="24"/>
          <w:shd w:val="clear" w:color="auto" w:fill="FFFFFF"/>
        </w:rPr>
      </w:pPr>
      <w:r w:rsidRPr="00462623">
        <w:rPr>
          <w:sz w:val="24"/>
          <w:szCs w:val="24"/>
        </w:rPr>
        <w:t>3. Виконавець забезпечує формування в розрізі місяців інформації про надані послуги</w:t>
      </w:r>
      <w:r w:rsidR="00B10A56">
        <w:rPr>
          <w:sz w:val="24"/>
          <w:szCs w:val="24"/>
        </w:rPr>
        <w:t xml:space="preserve"> </w:t>
      </w:r>
      <w:r w:rsidRPr="00462623">
        <w:rPr>
          <w:sz w:val="24"/>
          <w:szCs w:val="24"/>
        </w:rPr>
        <w:t>із детальним описом змісту, обсягу, конкретного виду наданих послуг та витраченого часу.</w:t>
      </w:r>
    </w:p>
    <w:p w:rsidR="00307378" w:rsidRDefault="00307378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307378" w:rsidSect="00462623">
      <w:headerReference w:type="default" r:id="rId7"/>
      <w:pgSz w:w="11906" w:h="16838"/>
      <w:pgMar w:top="850" w:right="707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E04">
          <w:rPr>
            <w:noProof/>
          </w:rPr>
          <w:t>3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217" w:hanging="465"/>
      </w:pPr>
    </w:lvl>
    <w:lvl w:ilvl="2">
      <w:start w:val="1"/>
      <w:numFmt w:val="decimal"/>
      <w:lvlText w:val="%1.%2.%3."/>
      <w:lvlJc w:val="left"/>
      <w:pPr>
        <w:ind w:left="4671" w:hanging="720"/>
      </w:pPr>
    </w:lvl>
    <w:lvl w:ilvl="3">
      <w:start w:val="1"/>
      <w:numFmt w:val="decimal"/>
      <w:lvlText w:val="%1.%2.%3.%4."/>
      <w:lvlJc w:val="left"/>
      <w:pPr>
        <w:ind w:left="5016" w:hanging="720"/>
      </w:pPr>
    </w:lvl>
    <w:lvl w:ilvl="4">
      <w:start w:val="1"/>
      <w:numFmt w:val="decimal"/>
      <w:lvlText w:val="%1.%2.%3.%4.%5."/>
      <w:lvlJc w:val="left"/>
      <w:pPr>
        <w:ind w:left="5721" w:hanging="1080"/>
      </w:pPr>
    </w:lvl>
    <w:lvl w:ilvl="5">
      <w:start w:val="1"/>
      <w:numFmt w:val="decimal"/>
      <w:lvlText w:val="%1.%2.%3.%4.%5.%6."/>
      <w:lvlJc w:val="left"/>
      <w:pPr>
        <w:ind w:left="6066" w:hanging="1080"/>
      </w:pPr>
    </w:lvl>
    <w:lvl w:ilvl="6">
      <w:start w:val="1"/>
      <w:numFmt w:val="decimal"/>
      <w:lvlText w:val="%1.%2.%3.%4.%5.%6.%7."/>
      <w:lvlJc w:val="left"/>
      <w:pPr>
        <w:ind w:left="6771" w:hanging="1440"/>
      </w:pPr>
    </w:lvl>
    <w:lvl w:ilvl="7">
      <w:start w:val="1"/>
      <w:numFmt w:val="decimal"/>
      <w:lvlText w:val="%1.%2.%3.%4.%5.%6.%7.%8."/>
      <w:lvlJc w:val="left"/>
      <w:pPr>
        <w:ind w:left="7116" w:hanging="1440"/>
      </w:pPr>
    </w:lvl>
    <w:lvl w:ilvl="8">
      <w:start w:val="1"/>
      <w:numFmt w:val="decimal"/>
      <w:lvlText w:val="%1.%2.%3.%4.%5.%6.%7.%8.%9."/>
      <w:lvlJc w:val="left"/>
      <w:pPr>
        <w:ind w:left="7821" w:hanging="1800"/>
      </w:p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425"/>
        </w:tabs>
        <w:ind w:left="-709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4395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-709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-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-709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43"/>
        </w:tabs>
        <w:ind w:left="-709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26"/>
        </w:tabs>
        <w:ind w:left="-709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10"/>
        </w:tabs>
        <w:ind w:left="-709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-709" w:firstLine="709"/>
      </w:pPr>
      <w:rPr>
        <w:rFonts w:hint="default"/>
      </w:rPr>
    </w:lvl>
  </w:abstractNum>
  <w:abstractNum w:abstractNumId="5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2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4"/>
  </w:num>
  <w:num w:numId="7">
    <w:abstractNumId w:val="18"/>
  </w:num>
  <w:num w:numId="8">
    <w:abstractNumId w:val="13"/>
  </w:num>
  <w:num w:numId="9">
    <w:abstractNumId w:val="12"/>
  </w:num>
  <w:num w:numId="10">
    <w:abstractNumId w:val="25"/>
  </w:num>
  <w:num w:numId="11">
    <w:abstractNumId w:val="15"/>
  </w:num>
  <w:num w:numId="12">
    <w:abstractNumId w:val="22"/>
  </w:num>
  <w:num w:numId="13">
    <w:abstractNumId w:val="2"/>
  </w:num>
  <w:num w:numId="14">
    <w:abstractNumId w:val="11"/>
  </w:num>
  <w:num w:numId="15">
    <w:abstractNumId w:val="20"/>
  </w:num>
  <w:num w:numId="16">
    <w:abstractNumId w:val="1"/>
  </w:num>
  <w:num w:numId="17">
    <w:abstractNumId w:val="16"/>
  </w:num>
  <w:num w:numId="18">
    <w:abstractNumId w:val="28"/>
  </w:num>
  <w:num w:numId="19">
    <w:abstractNumId w:val="17"/>
  </w:num>
  <w:num w:numId="20">
    <w:abstractNumId w:val="10"/>
  </w:num>
  <w:num w:numId="21">
    <w:abstractNumId w:val="9"/>
  </w:num>
  <w:num w:numId="22">
    <w:abstractNumId w:val="23"/>
  </w:num>
  <w:num w:numId="23">
    <w:abstractNumId w:val="21"/>
  </w:num>
  <w:num w:numId="24">
    <w:abstractNumId w:val="7"/>
  </w:num>
  <w:num w:numId="25">
    <w:abstractNumId w:val="5"/>
  </w:num>
  <w:num w:numId="26">
    <w:abstractNumId w:val="26"/>
  </w:num>
  <w:num w:numId="27">
    <w:abstractNumId w:val="8"/>
  </w:num>
  <w:num w:numId="28">
    <w:abstractNumId w:val="19"/>
  </w:num>
  <w:num w:numId="29">
    <w:abstractNumId w:val="5"/>
  </w:num>
  <w:num w:numId="30">
    <w:abstractNumId w:val="8"/>
  </w:num>
  <w:num w:numId="31">
    <w:abstractNumId w:val="26"/>
  </w:num>
  <w:num w:numId="32">
    <w:abstractNumId w:val="19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0785F"/>
    <w:rsid w:val="00034B71"/>
    <w:rsid w:val="0003718E"/>
    <w:rsid w:val="000C6E30"/>
    <w:rsid w:val="00137FCC"/>
    <w:rsid w:val="001463DB"/>
    <w:rsid w:val="001D381F"/>
    <w:rsid w:val="00307378"/>
    <w:rsid w:val="0033663D"/>
    <w:rsid w:val="00402568"/>
    <w:rsid w:val="004403BD"/>
    <w:rsid w:val="00462623"/>
    <w:rsid w:val="00464A76"/>
    <w:rsid w:val="00534801"/>
    <w:rsid w:val="005527AD"/>
    <w:rsid w:val="0055505C"/>
    <w:rsid w:val="006F557D"/>
    <w:rsid w:val="00710917"/>
    <w:rsid w:val="007329CB"/>
    <w:rsid w:val="00733068"/>
    <w:rsid w:val="007647A7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9E0466"/>
    <w:rsid w:val="00A238BF"/>
    <w:rsid w:val="00B10A56"/>
    <w:rsid w:val="00B24970"/>
    <w:rsid w:val="00BC008B"/>
    <w:rsid w:val="00BC2816"/>
    <w:rsid w:val="00C0074F"/>
    <w:rsid w:val="00D56785"/>
    <w:rsid w:val="00DD27E5"/>
    <w:rsid w:val="00EE391C"/>
    <w:rsid w:val="00F01E04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98D8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99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943</Words>
  <Characters>6958</Characters>
  <Application>Microsoft Office Word</Application>
  <DocSecurity>0</DocSecurity>
  <Lines>110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42</cp:revision>
  <cp:lastPrinted>2026-03-11T11:16:00Z</cp:lastPrinted>
  <dcterms:created xsi:type="dcterms:W3CDTF">2024-04-11T08:32:00Z</dcterms:created>
  <dcterms:modified xsi:type="dcterms:W3CDTF">2026-03-11T11:17:00Z</dcterms:modified>
</cp:coreProperties>
</file>