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6" w:rsidRPr="003E7886" w:rsidRDefault="00441F16" w:rsidP="00441F16">
      <w:pPr>
        <w:ind w:left="708" w:hanging="708"/>
        <w:jc w:val="center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57DB7E07" wp14:editId="1A7EA4BE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F16" w:rsidRDefault="00441F16" w:rsidP="00441F16">
      <w:pPr>
        <w:jc w:val="center"/>
        <w:rPr>
          <w:b/>
          <w:color w:val="0033D6"/>
          <w:sz w:val="32"/>
          <w:szCs w:val="32"/>
        </w:rPr>
      </w:pPr>
      <w:r w:rsidRPr="00953747">
        <w:rPr>
          <w:b/>
          <w:color w:val="0033D6"/>
          <w:sz w:val="32"/>
          <w:szCs w:val="32"/>
        </w:rPr>
        <w:t>ДЕРЖАВНА МИТНА СЛУЖБА УКРАЇНИ</w:t>
      </w:r>
    </w:p>
    <w:p w:rsidR="00441F16" w:rsidRPr="000B3D81" w:rsidRDefault="00441F16" w:rsidP="00441F16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0B3D81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:rsidR="00441F16" w:rsidRPr="00555273" w:rsidRDefault="00441F16" w:rsidP="00441F16">
      <w:pPr>
        <w:jc w:val="center"/>
        <w:rPr>
          <w:b/>
          <w:sz w:val="20"/>
        </w:rPr>
      </w:pPr>
    </w:p>
    <w:p w:rsidR="00441F16" w:rsidRPr="00F835E1" w:rsidRDefault="00441F16" w:rsidP="00441F16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</w:t>
      </w:r>
      <w:r w:rsidRPr="006B339F">
        <w:rPr>
          <w:sz w:val="22"/>
          <w:szCs w:val="22"/>
        </w:rPr>
        <w:t xml:space="preserve"> </w:t>
      </w:r>
      <w:r>
        <w:rPr>
          <w:sz w:val="22"/>
          <w:szCs w:val="22"/>
        </w:rPr>
        <w:t>Дегтярівська, 11-Г,</w:t>
      </w:r>
      <w:r w:rsidRPr="00F835E1">
        <w:rPr>
          <w:sz w:val="22"/>
          <w:szCs w:val="22"/>
        </w:rPr>
        <w:t xml:space="preserve"> м. Київ, 04</w:t>
      </w:r>
      <w:r>
        <w:rPr>
          <w:sz w:val="22"/>
          <w:szCs w:val="22"/>
        </w:rPr>
        <w:t>119</w:t>
      </w:r>
      <w:r w:rsidRPr="00F835E1">
        <w:rPr>
          <w:sz w:val="22"/>
          <w:szCs w:val="22"/>
        </w:rPr>
        <w:t xml:space="preserve">, </w:t>
      </w:r>
      <w:proofErr w:type="spellStart"/>
      <w:r w:rsidRPr="00F835E1">
        <w:rPr>
          <w:sz w:val="22"/>
          <w:szCs w:val="22"/>
        </w:rPr>
        <w:t>тел</w:t>
      </w:r>
      <w:proofErr w:type="spellEnd"/>
      <w:r w:rsidRPr="00F835E1">
        <w:rPr>
          <w:sz w:val="22"/>
          <w:szCs w:val="22"/>
        </w:rPr>
        <w:t>.: (044)</w:t>
      </w:r>
      <w:r>
        <w:rPr>
          <w:sz w:val="22"/>
          <w:szCs w:val="22"/>
        </w:rPr>
        <w:t xml:space="preserve"> 481 18 65, (044) 481 20 42, (044) 481 19 58</w:t>
      </w:r>
    </w:p>
    <w:p w:rsidR="00441F16" w:rsidRDefault="00441F16" w:rsidP="00441F16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</w:t>
      </w:r>
      <w:r w:rsidRPr="00445C29">
        <w:rPr>
          <w:color w:val="0033D6"/>
          <w:sz w:val="22"/>
          <w:szCs w:val="22"/>
        </w:rPr>
        <w:t>-</w:t>
      </w:r>
      <w:r w:rsidRPr="00F835E1">
        <w:rPr>
          <w:color w:val="0033D6"/>
          <w:sz w:val="22"/>
          <w:szCs w:val="22"/>
          <w:lang w:val="en-US"/>
        </w:rPr>
        <w:t>mail</w:t>
      </w:r>
      <w:r w:rsidRPr="00445C29">
        <w:rPr>
          <w:color w:val="0033D6"/>
          <w:sz w:val="22"/>
          <w:szCs w:val="22"/>
        </w:rPr>
        <w:t>:</w:t>
      </w:r>
      <w:r w:rsidRPr="00325450">
        <w:rPr>
          <w:b/>
          <w:sz w:val="20"/>
        </w:rPr>
        <w:t xml:space="preserve"> </w:t>
      </w:r>
      <w:proofErr w:type="spellStart"/>
      <w:r w:rsidRPr="00D45DC4">
        <w:rPr>
          <w:color w:val="0033D6"/>
          <w:sz w:val="22"/>
          <w:szCs w:val="22"/>
        </w:rPr>
        <w:t>post</w:t>
      </w:r>
      <w:proofErr w:type="spellEnd"/>
      <w:r w:rsidRPr="00C54151">
        <w:rPr>
          <w:rStyle w:val="a3"/>
          <w:sz w:val="22"/>
          <w:szCs w:val="22"/>
        </w:rPr>
        <w:t>@</w:t>
      </w:r>
      <w:hyperlink r:id="rId7" w:history="1">
        <w:r w:rsidRPr="009E5691">
          <w:rPr>
            <w:rStyle w:val="a3"/>
            <w:sz w:val="22"/>
            <w:szCs w:val="22"/>
            <w:lang w:val="en-US"/>
          </w:rPr>
          <w:t>customs</w:t>
        </w:r>
        <w:r w:rsidRPr="009E5691">
          <w:rPr>
            <w:rStyle w:val="a3"/>
            <w:sz w:val="22"/>
            <w:szCs w:val="22"/>
          </w:rPr>
          <w:t>.</w:t>
        </w:r>
        <w:proofErr w:type="spellStart"/>
        <w:r w:rsidRPr="009E5691">
          <w:rPr>
            <w:rStyle w:val="a3"/>
            <w:sz w:val="22"/>
            <w:szCs w:val="22"/>
            <w:lang w:val="en-US"/>
          </w:rPr>
          <w:t>gov</w:t>
        </w:r>
        <w:proofErr w:type="spellEnd"/>
        <w:r w:rsidRPr="009E5691">
          <w:rPr>
            <w:rStyle w:val="a3"/>
            <w:sz w:val="22"/>
            <w:szCs w:val="22"/>
          </w:rPr>
          <w:t>.</w:t>
        </w:r>
        <w:proofErr w:type="spellStart"/>
        <w:r w:rsidRPr="009E5691">
          <w:rPr>
            <w:rStyle w:val="a3"/>
            <w:sz w:val="22"/>
            <w:szCs w:val="22"/>
            <w:lang w:val="en-US"/>
          </w:rPr>
          <w:t>ua</w:t>
        </w:r>
        <w:proofErr w:type="spellEnd"/>
      </w:hyperlink>
      <w:r w:rsidRPr="00F835E1">
        <w:rPr>
          <w:sz w:val="22"/>
          <w:szCs w:val="22"/>
        </w:rPr>
        <w:t xml:space="preserve">; Код ЄДРПОУ </w:t>
      </w:r>
      <w:r w:rsidRPr="00143B2F">
        <w:rPr>
          <w:color w:val="000000"/>
          <w:sz w:val="22"/>
          <w:szCs w:val="22"/>
          <w:shd w:val="clear" w:color="auto" w:fill="FFFFFF"/>
        </w:rPr>
        <w:t>43115923</w:t>
      </w:r>
    </w:p>
    <w:p w:rsidR="00441F16" w:rsidRPr="00143B2F" w:rsidRDefault="00441F16" w:rsidP="00441F1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302"/>
        <w:gridCol w:w="5223"/>
      </w:tblGrid>
      <w:tr w:rsidR="00441F16" w:rsidRPr="00F835E1" w:rsidTr="0067118A">
        <w:trPr>
          <w:trHeight w:val="742"/>
        </w:trPr>
        <w:tc>
          <w:tcPr>
            <w:tcW w:w="4826" w:type="dxa"/>
            <w:shd w:val="clear" w:color="auto" w:fill="auto"/>
          </w:tcPr>
          <w:p w:rsidR="00441F16" w:rsidRPr="00F835E1" w:rsidRDefault="00441F16" w:rsidP="0067118A">
            <w:pPr>
              <w:jc w:val="center"/>
              <w:rPr>
                <w:sz w:val="22"/>
                <w:szCs w:val="22"/>
              </w:rPr>
            </w:pPr>
          </w:p>
          <w:p w:rsidR="00441F16" w:rsidRPr="00F835E1" w:rsidRDefault="00441F16" w:rsidP="0067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Pr="00F835E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. </w:t>
            </w:r>
            <w:r w:rsidRPr="00F835E1">
              <w:rPr>
                <w:sz w:val="22"/>
                <w:szCs w:val="22"/>
              </w:rPr>
              <w:t>№____________</w:t>
            </w:r>
          </w:p>
        </w:tc>
        <w:tc>
          <w:tcPr>
            <w:tcW w:w="4827" w:type="dxa"/>
            <w:shd w:val="clear" w:color="auto" w:fill="auto"/>
          </w:tcPr>
          <w:p w:rsidR="00441F16" w:rsidRPr="00F80056" w:rsidRDefault="00441F16" w:rsidP="0067118A">
            <w:pPr>
              <w:ind w:firstLine="4678"/>
              <w:rPr>
                <w:color w:val="FFFFFF" w:themeColor="background1"/>
                <w:lang w:eastAsia="uk-UA"/>
              </w:rPr>
            </w:pPr>
            <w:r w:rsidRPr="00F80056">
              <w:rPr>
                <w:color w:val="FFFFFF" w:themeColor="background1"/>
                <w:lang w:eastAsia="uk-UA"/>
              </w:rPr>
              <w:t xml:space="preserve">(за списком) </w:t>
            </w:r>
          </w:p>
          <w:p w:rsidR="00441F16" w:rsidRPr="00F80056" w:rsidRDefault="00441F16" w:rsidP="0067118A">
            <w:pPr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441F16" w:rsidRDefault="009B355A" w:rsidP="00441F16">
      <w:pPr>
        <w:autoSpaceDE w:val="0"/>
        <w:autoSpaceDN w:val="0"/>
        <w:adjustRightInd w:val="0"/>
        <w:spacing w:line="360" w:lineRule="auto"/>
        <w:ind w:firstLine="5103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Особа 1</w:t>
      </w:r>
      <w:r w:rsidR="00441F16">
        <w:rPr>
          <w:rFonts w:ascii="TimesNewRomanPSMT" w:hAnsi="TimesNewRomanPSMT" w:cs="TimesNewRomanPSMT"/>
        </w:rPr>
        <w:tab/>
        <w:t xml:space="preserve"> </w:t>
      </w:r>
    </w:p>
    <w:p w:rsidR="00441F16" w:rsidRDefault="009B355A" w:rsidP="00441F16">
      <w:pPr>
        <w:autoSpaceDE w:val="0"/>
        <w:autoSpaceDN w:val="0"/>
        <w:adjustRightInd w:val="0"/>
        <w:spacing w:line="360" w:lineRule="auto"/>
        <w:ind w:firstLine="5103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адреса</w:t>
      </w:r>
    </w:p>
    <w:p w:rsidR="00441F16" w:rsidRPr="009B355A" w:rsidRDefault="009B355A" w:rsidP="00441F16">
      <w:pPr>
        <w:autoSpaceDE w:val="0"/>
        <w:autoSpaceDN w:val="0"/>
        <w:adjustRightInd w:val="0"/>
        <w:spacing w:line="360" w:lineRule="auto"/>
        <w:ind w:firstLine="5103"/>
        <w:rPr>
          <w:color w:val="000000"/>
          <w:sz w:val="27"/>
          <w:szCs w:val="27"/>
        </w:rPr>
      </w:pPr>
      <w:r>
        <w:rPr>
          <w:sz w:val="27"/>
          <w:szCs w:val="27"/>
        </w:rPr>
        <w:t>електронна адреса</w:t>
      </w:r>
    </w:p>
    <w:p w:rsidR="00441F16" w:rsidRPr="00521202" w:rsidRDefault="00441F16" w:rsidP="00441F16">
      <w:pPr>
        <w:autoSpaceDE w:val="0"/>
        <w:autoSpaceDN w:val="0"/>
        <w:adjustRightInd w:val="0"/>
        <w:ind w:firstLine="5103"/>
        <w:rPr>
          <w:color w:val="000000"/>
          <w:sz w:val="27"/>
          <w:szCs w:val="27"/>
        </w:rPr>
      </w:pPr>
      <w:r w:rsidRPr="00521202">
        <w:rPr>
          <w:color w:val="000000"/>
          <w:sz w:val="27"/>
          <w:szCs w:val="27"/>
        </w:rPr>
        <w:t>митниця</w:t>
      </w:r>
    </w:p>
    <w:p w:rsidR="00441F16" w:rsidRPr="00A21195" w:rsidRDefault="00441F16" w:rsidP="00441F16">
      <w:pPr>
        <w:tabs>
          <w:tab w:val="left" w:pos="4962"/>
        </w:tabs>
        <w:rPr>
          <w:sz w:val="16"/>
          <w:szCs w:val="16"/>
        </w:rPr>
      </w:pPr>
      <w:r>
        <w:tab/>
      </w:r>
    </w:p>
    <w:p w:rsidR="00441F16" w:rsidRPr="00A21195" w:rsidRDefault="00441F16" w:rsidP="00441F16">
      <w:pPr>
        <w:tabs>
          <w:tab w:val="left" w:pos="5103"/>
        </w:tabs>
        <w:rPr>
          <w:sz w:val="16"/>
          <w:szCs w:val="16"/>
        </w:rPr>
      </w:pPr>
    </w:p>
    <w:p w:rsidR="00441F16" w:rsidRDefault="00441F16" w:rsidP="00441F16">
      <w:pPr>
        <w:tabs>
          <w:tab w:val="left" w:pos="5103"/>
        </w:tabs>
        <w:jc w:val="center"/>
      </w:pPr>
      <w:r>
        <w:t xml:space="preserve">Рішення </w:t>
      </w:r>
    </w:p>
    <w:p w:rsidR="00441F16" w:rsidRPr="00EE0D64" w:rsidRDefault="00441F16" w:rsidP="009B355A">
      <w:pPr>
        <w:autoSpaceDE w:val="0"/>
        <w:autoSpaceDN w:val="0"/>
        <w:adjustRightInd w:val="0"/>
        <w:jc w:val="center"/>
        <w:rPr>
          <w:bCs/>
        </w:rPr>
      </w:pPr>
      <w:r w:rsidRPr="00FA1E1C">
        <w:t xml:space="preserve">про розгляд скарги </w:t>
      </w:r>
      <w:r w:rsidR="009B355A">
        <w:rPr>
          <w:bCs/>
        </w:rPr>
        <w:t>Особи 1</w:t>
      </w:r>
      <w:r>
        <w:rPr>
          <w:rFonts w:ascii="TimesNewRomanPSMT" w:hAnsi="TimesNewRomanPSMT" w:cs="TimesNewRomanPSMT"/>
        </w:rPr>
        <w:t xml:space="preserve"> </w:t>
      </w:r>
      <w:r>
        <w:rPr>
          <w:bCs/>
        </w:rPr>
        <w:t>від 26.02.2026 № 29</w:t>
      </w:r>
    </w:p>
    <w:p w:rsidR="00441F16" w:rsidRDefault="00441F16" w:rsidP="00441F16">
      <w:pPr>
        <w:autoSpaceDE w:val="0"/>
        <w:autoSpaceDN w:val="0"/>
        <w:adjustRightInd w:val="0"/>
        <w:rPr>
          <w:bCs/>
        </w:rPr>
      </w:pPr>
    </w:p>
    <w:p w:rsidR="00441F16" w:rsidRDefault="00441F16" w:rsidP="00441F16">
      <w:pPr>
        <w:autoSpaceDE w:val="0"/>
        <w:autoSpaceDN w:val="0"/>
        <w:adjustRightInd w:val="0"/>
        <w:ind w:firstLine="567"/>
        <w:rPr>
          <w:bCs/>
        </w:rPr>
      </w:pPr>
      <w:r w:rsidRPr="003C4496">
        <w:t xml:space="preserve">Державна митна служба України розглянула скаргу </w:t>
      </w:r>
      <w:r>
        <w:t xml:space="preserve"> </w:t>
      </w:r>
      <w:r w:rsidR="009B355A">
        <w:t>Особи 1</w:t>
      </w:r>
      <w:r>
        <w:rPr>
          <w:rFonts w:ascii="TimesNewRomanPSMT" w:hAnsi="TimesNewRomanPSMT" w:cs="TimesNewRomanPSMT"/>
        </w:rPr>
        <w:t xml:space="preserve"> </w:t>
      </w:r>
      <w:r>
        <w:rPr>
          <w:bCs/>
        </w:rPr>
        <w:t xml:space="preserve">від 26.02.2026 № 29 </w:t>
      </w:r>
      <w:r w:rsidRPr="003C4496">
        <w:rPr>
          <w:bCs/>
        </w:rPr>
        <w:t>(</w:t>
      </w:r>
      <w:proofErr w:type="spellStart"/>
      <w:r w:rsidRPr="003C4496">
        <w:rPr>
          <w:bCs/>
        </w:rPr>
        <w:t>вх</w:t>
      </w:r>
      <w:proofErr w:type="spellEnd"/>
      <w:r w:rsidRPr="003C4496">
        <w:rPr>
          <w:bCs/>
        </w:rPr>
        <w:t xml:space="preserve">. Держмитслужби № </w:t>
      </w:r>
      <w:r w:rsidRPr="009B355A">
        <w:rPr>
          <w:bCs/>
        </w:rPr>
        <w:t>bbe1dda6cfd6446712369d20e56d7c5b926ee69af2b259854d9b90c0692f98da</w:t>
      </w:r>
      <w:r w:rsidRPr="003C4496">
        <w:rPr>
          <w:bCs/>
        </w:rPr>
        <w:t xml:space="preserve">) </w:t>
      </w:r>
      <w:r w:rsidR="008C0860">
        <w:rPr>
          <w:bCs/>
        </w:rPr>
        <w:t xml:space="preserve">на рішення </w:t>
      </w:r>
      <w:r w:rsidR="008C0860" w:rsidRPr="00871E26">
        <w:rPr>
          <w:sz w:val="27"/>
          <w:szCs w:val="27"/>
        </w:rPr>
        <w:t xml:space="preserve">митниці </w:t>
      </w:r>
      <w:r w:rsidR="008C0860">
        <w:rPr>
          <w:sz w:val="27"/>
          <w:szCs w:val="27"/>
        </w:rPr>
        <w:t xml:space="preserve">від </w:t>
      </w:r>
      <w:r w:rsidR="008C0860" w:rsidRPr="009B355A">
        <w:rPr>
          <w:sz w:val="27"/>
          <w:szCs w:val="27"/>
        </w:rPr>
        <w:t>29a4899fbd012a83082b9a96e0425e81048b6768b43dc32bb318fcfd1a4c4e70</w:t>
      </w:r>
      <w:r w:rsidR="008C0860">
        <w:rPr>
          <w:sz w:val="27"/>
          <w:szCs w:val="27"/>
        </w:rPr>
        <w:t xml:space="preserve"> № </w:t>
      </w:r>
      <w:r w:rsidR="008C0860" w:rsidRPr="009B355A">
        <w:rPr>
          <w:sz w:val="27"/>
          <w:szCs w:val="27"/>
        </w:rPr>
        <w:t>58430c0aca496b893e0bb834c111791424aca8da9062f5d53bbff03221bb4bd7</w:t>
      </w:r>
      <w:r w:rsidR="008C0860">
        <w:rPr>
          <w:sz w:val="27"/>
          <w:szCs w:val="27"/>
        </w:rPr>
        <w:t xml:space="preserve"> </w:t>
      </w:r>
      <w:r>
        <w:rPr>
          <w:bCs/>
        </w:rPr>
        <w:t xml:space="preserve">щодо </w:t>
      </w:r>
      <w:r>
        <w:rPr>
          <w:sz w:val="27"/>
          <w:szCs w:val="27"/>
        </w:rPr>
        <w:t>відмови</w:t>
      </w:r>
      <w:r w:rsidRPr="00871E26">
        <w:rPr>
          <w:sz w:val="27"/>
          <w:szCs w:val="27"/>
        </w:rPr>
        <w:t xml:space="preserve"> </w:t>
      </w:r>
      <w:r w:rsidR="008C0860">
        <w:rPr>
          <w:sz w:val="27"/>
          <w:szCs w:val="27"/>
        </w:rPr>
        <w:t>у внес</w:t>
      </w:r>
      <w:r w:rsidR="009569C0">
        <w:rPr>
          <w:sz w:val="27"/>
          <w:szCs w:val="27"/>
        </w:rPr>
        <w:t>енні</w:t>
      </w:r>
      <w:r w:rsidR="008C0860">
        <w:rPr>
          <w:sz w:val="27"/>
          <w:szCs w:val="27"/>
        </w:rPr>
        <w:t xml:space="preserve"> змін до митн</w:t>
      </w:r>
      <w:r w:rsidR="009569C0">
        <w:rPr>
          <w:sz w:val="27"/>
          <w:szCs w:val="27"/>
        </w:rPr>
        <w:t>их</w:t>
      </w:r>
      <w:r w:rsidR="008C0860">
        <w:rPr>
          <w:sz w:val="27"/>
          <w:szCs w:val="27"/>
        </w:rPr>
        <w:t xml:space="preserve"> деклараці</w:t>
      </w:r>
      <w:r w:rsidR="009569C0">
        <w:rPr>
          <w:sz w:val="27"/>
          <w:szCs w:val="27"/>
        </w:rPr>
        <w:t>й</w:t>
      </w:r>
      <w:r w:rsidR="009B355A">
        <w:rPr>
          <w:sz w:val="27"/>
          <w:szCs w:val="27"/>
        </w:rPr>
        <w:t xml:space="preserve"> </w:t>
      </w:r>
      <w:r w:rsidR="009569C0">
        <w:t xml:space="preserve">від </w:t>
      </w:r>
      <w:r w:rsidR="009569C0" w:rsidRPr="009B355A">
        <w:rPr/>
        <w:t>5cc232303ddb9a84b1cacaa021dd1e41b067ddfd50f671df639dec60576781bc</w:t>
      </w:r>
      <w:r w:rsidR="009569C0">
        <w:t xml:space="preserve"> № </w:t>
      </w:r>
      <w:r w:rsidR="009569C0" w:rsidRPr="009B355A">
        <w:rPr/>
        <w:t>1e8feaed19c29296b068666063c22ba914599495e286bea575a56e885a0f5c73</w:t>
      </w:r>
      <w:r w:rsidR="009569C0">
        <w:t xml:space="preserve"> та </w:t>
      </w:r>
      <w:r>
        <w:rPr>
          <w:sz w:val="27"/>
          <w:szCs w:val="27"/>
        </w:rPr>
        <w:t xml:space="preserve">від </w:t>
      </w:r>
      <w:r w:rsidR="008C0860" w:rsidRPr="009B355A">
        <w:rPr>
          <w:sz w:val="27"/>
          <w:szCs w:val="27"/>
        </w:rPr>
        <w:t>c2356069e9d1e79ca924378153cfbbfb4d4416b1f99d41a2940bfdb66c5319db</w:t>
      </w:r>
      <w:r w:rsidRPr="009B355A">
        <w:rPr>
          <w:sz w:val="27"/>
          <w:szCs w:val="27"/>
        </w:rPr>
        <w:t>cdb4ee2aea69cc6a83331bbe96dc2caa9a299d21329efb0336fc02a82e1839a8</w:t>
      </w:r>
      <w:r w:rsidR="008C0860" w:rsidRPr="009B355A">
        <w:rPr>
          <w:sz w:val="27"/>
          <w:szCs w:val="27"/>
        </w:rPr>
        <w:t>3514acf61732f662da19625f7fe781c3e483f2dce8506012f3bb393f5003e105</w:t>
      </w:r>
      <w:r w:rsidRPr="009B355A">
        <w:rPr>
          <w:sz w:val="27"/>
          <w:szCs w:val="27"/>
        </w:rPr>
        <w:t>29396d53004256d75ad6df6a3edeececbc7ecf884e45fd5ea8613db80968d85e</w:t>
      </w:r>
      <w:r w:rsidR="008C0860">
        <w:rPr>
          <w:sz w:val="27"/>
          <w:szCs w:val="27"/>
        </w:rPr>
        <w:t xml:space="preserve"> </w:t>
      </w:r>
      <w:r w:rsidR="009569C0">
        <w:rPr>
          <w:sz w:val="27"/>
          <w:szCs w:val="27"/>
        </w:rPr>
        <w:t xml:space="preserve">                                                            </w:t>
      </w:r>
      <w:r>
        <w:rPr>
          <w:sz w:val="27"/>
          <w:szCs w:val="27"/>
        </w:rPr>
        <w:t xml:space="preserve">№ </w:t>
      </w:r>
      <w:r w:rsidR="008C0860" w:rsidRPr="009B355A">
        <w:rPr>
          <w:sz w:val="27"/>
          <w:szCs w:val="27"/>
        </w:rPr>
        <w:t>b7a56873cd771f2c446d369b649430b65a756ba278ff97ec81bb6f55b2e73569</w:t>
      </w:r>
      <w:r w:rsidRPr="009B355A">
        <w:rPr>
          <w:sz w:val="27"/>
          <w:szCs w:val="27"/>
          <w:lang w:val="en-US"/>
        </w:rPr>
        <w:t>1cf587e0bafeb6195595fcbdce170411d52ea40dc4e3582aa9bb272d6a4a01a8</w:t>
      </w:r>
      <w:r w:rsidRPr="009B355A">
        <w:rPr>
          <w:sz w:val="27"/>
          <w:szCs w:val="27"/>
        </w:rPr>
        <w:t>0604cd3138feed202ef293e062da2f4720f77a05d25ee036a7a01c9cfcdd1f0a</w:t>
      </w:r>
      <w:r w:rsidR="008C0860" w:rsidRPr="009B355A">
        <w:rPr>
          <w:sz w:val="27"/>
          <w:szCs w:val="27"/>
        </w:rPr>
        <w:t>4bd7ef66a240a7e6c6a0b54c1a12c153619be746566169dd367e79964bf1df97</w:t>
      </w:r>
      <w:r w:rsidR="008C0860" w:rsidRPr="009B355A">
        <w:rPr>
          <w:sz w:val="27"/>
          <w:szCs w:val="27"/>
          <w:lang w:val="en-US"/>
        </w:rPr>
        <w:t>a25513c7e0f6eaa80a3337ee18081b9e2ed09e00af8531c8f7bb2542764027e7</w:t>
      </w:r>
      <w:r w:rsidR="008C0860" w:rsidRPr="009B355A">
        <w:rPr>
          <w:sz w:val="27"/>
          <w:szCs w:val="27"/>
        </w:rPr>
        <w:t>6b86b273ff34fce19d6b804eff5a3f5747ada4eaa22f1d49c01e52ddb7875b4b</w:t>
      </w:r>
      <w:r>
        <w:rPr>
          <w:sz w:val="27"/>
          <w:szCs w:val="27"/>
        </w:rPr>
        <w:t xml:space="preserve">. 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Аналогічні норми зазначені в пункті 1 частини першої статті 8 Закону України від 10 грудня 2015 року № 889-VIII «Про державну службу».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Завдання, функції, повноваження митних органів визначені в Митному кодексі України (далі – Кодекс), Положенні про Державну митну службу України, затвердженому постановою Кабінету Міністрів України                              від 06 березня 2019 року № 227 (далі – Положення № 227), та інших нормативно-правових актах.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</w:t>
      </w:r>
      <w:r>
        <w:rPr>
          <w:rFonts w:ascii="TimesNewRomanPSMT" w:hAnsi="TimesNewRomanPSMT" w:cs="TimesNewRomanPSMT"/>
        </w:rPr>
        <w:lastRenderedPageBreak/>
        <w:t>та законів України, актами Кабінету Міністрів України, іншими актами законодавства.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виконання цього Кодексу та інших законодавчих актів.</w:t>
      </w:r>
    </w:p>
    <w:p w:rsidR="00441F16" w:rsidRDefault="00441F16" w:rsidP="00441F16">
      <w:pPr>
        <w:shd w:val="clear" w:color="auto" w:fill="FFFFFF"/>
        <w:ind w:firstLine="567"/>
      </w:pPr>
      <w:r>
        <w:t>Законом України від 16 липня 2025 року № 4536-ІХ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(далі – Закон № 4536) внесені зміни до Закону України «Про ставки вивізного (експортного) мита на насіння деяких видів олійних культур».</w:t>
      </w:r>
    </w:p>
    <w:p w:rsidR="00441F16" w:rsidRDefault="00441F16" w:rsidP="00441F16">
      <w:pPr>
        <w:shd w:val="clear" w:color="auto" w:fill="FFFFFF"/>
        <w:ind w:firstLine="567"/>
      </w:pPr>
      <w:r>
        <w:t xml:space="preserve">Зокрема, запроваджено справляння вивізного (експортного) мита на соєві боби, подрібнені або не подрібнені (товарна позиція 1201 згідно з УКТЗЕД) та насіння ріпаку або кользи, подрібнене або не подрібнене  (товарна позиція 1205 згідно з УКТЗЕД) </w:t>
      </w:r>
      <w:r w:rsidRPr="0074293E">
        <w:t xml:space="preserve">у розмірі 10 </w:t>
      </w:r>
      <w:proofErr w:type="spellStart"/>
      <w:r w:rsidRPr="0074293E">
        <w:t>відс</w:t>
      </w:r>
      <w:proofErr w:type="spellEnd"/>
      <w:r w:rsidRPr="0074293E">
        <w:t>.</w:t>
      </w:r>
      <w:r>
        <w:t xml:space="preserve"> від митної вартості товарів.</w:t>
      </w:r>
    </w:p>
    <w:p w:rsidR="00441F16" w:rsidRDefault="00441F16" w:rsidP="00441F16">
      <w:pPr>
        <w:ind w:firstLine="567"/>
      </w:pPr>
      <w:r>
        <w:t xml:space="preserve">Сільськогосподарські товаровиробники, які експортують власно вирощену сільськогосподарську продукцію, що класифікується за кодами 1201 та 1205 згідно з УКТЗЕД, а також сільськогосподарські кооперативи, які експортують таку сільськогосподарську продукцію, вирощену членами такого кооперативу, звільняються від сплати вивізного (експортного) мита. </w:t>
      </w:r>
    </w:p>
    <w:p w:rsidR="00441F16" w:rsidRDefault="00441F16" w:rsidP="00441F16">
      <w:pPr>
        <w:ind w:firstLine="567"/>
      </w:pPr>
      <w:r w:rsidRPr="00782672">
        <w:t>Термін «сільськогосподарський товаровиробник» вживається у значенні, наведеному в Податковому кодексі України.</w:t>
      </w:r>
    </w:p>
    <w:p w:rsidR="00441F16" w:rsidRPr="00FA1DD5" w:rsidRDefault="00441F16" w:rsidP="00441F16">
      <w:pPr>
        <w:ind w:firstLine="567"/>
        <w:rPr>
          <w:rFonts w:eastAsia="Times New Roman"/>
          <w:color w:val="000000"/>
          <w:lang w:eastAsia="uk-UA"/>
        </w:rPr>
      </w:pPr>
      <w:r>
        <w:t>П</w:t>
      </w:r>
      <w:r w:rsidRPr="00FA1DD5">
        <w:t>останов</w:t>
      </w:r>
      <w:r>
        <w:t>ою</w:t>
      </w:r>
      <w:r w:rsidRPr="00FA1DD5">
        <w:t xml:space="preserve"> Кабінету Міністрів України</w:t>
      </w:r>
      <w:r>
        <w:t xml:space="preserve"> </w:t>
      </w:r>
      <w:r w:rsidRPr="00FA1DD5">
        <w:t>від 03 жовтня 2025 року № 1256 «</w:t>
      </w:r>
      <w:r w:rsidRPr="00FA1DD5">
        <w:rPr>
          <w:bCs/>
          <w:color w:val="000000"/>
          <w:lang w:eastAsia="uk-UA"/>
        </w:rPr>
        <w:t xml:space="preserve">Деякі питання підтвердження власного вирощування окремих видів сільськогосподарської продукції для цілей експорту» </w:t>
      </w:r>
      <w:r>
        <w:rPr>
          <w:bCs/>
          <w:color w:val="000000"/>
          <w:lang w:eastAsia="uk-UA"/>
        </w:rPr>
        <w:t xml:space="preserve">(далі </w:t>
      </w:r>
      <w:r w:rsidRPr="00B45A2B">
        <w:t>–</w:t>
      </w:r>
      <w:r>
        <w:t xml:space="preserve">                         </w:t>
      </w:r>
      <w:r>
        <w:rPr>
          <w:bCs/>
          <w:color w:val="000000"/>
          <w:lang w:eastAsia="uk-UA"/>
        </w:rPr>
        <w:t xml:space="preserve">постанова № 1256) встановлено, що </w:t>
      </w:r>
      <w:r w:rsidRPr="00FA1DD5">
        <w:rPr>
          <w:rFonts w:eastAsia="Times New Roman"/>
          <w:color w:val="000000"/>
          <w:lang w:eastAsia="uk-UA"/>
        </w:rPr>
        <w:t xml:space="preserve">сільськогосподарські товаровиробники, які експортують власно вирощену сільськогосподарську продукцію, що класифікується за кодами 1201 та 1205 згідно з УКТЗЕД, а також сільськогосподарські кооперативи, які експортують зазначену сільськогосподарську продукцію, вирощену членами таких кооперативів </w:t>
      </w:r>
      <w:r>
        <w:rPr>
          <w:rFonts w:eastAsia="Times New Roman"/>
          <w:color w:val="000000"/>
          <w:lang w:eastAsia="uk-UA"/>
        </w:rPr>
        <w:t xml:space="preserve">              </w:t>
      </w:r>
      <w:r w:rsidRPr="00FA1DD5">
        <w:rPr>
          <w:rFonts w:eastAsia="Times New Roman"/>
          <w:color w:val="000000"/>
          <w:lang w:eastAsia="uk-UA"/>
        </w:rPr>
        <w:t xml:space="preserve">(далі </w:t>
      </w:r>
      <w:r w:rsidRPr="00B45A2B">
        <w:t>–</w:t>
      </w:r>
      <w:r w:rsidRPr="00FA1DD5">
        <w:rPr>
          <w:rFonts w:eastAsia="Times New Roman"/>
          <w:color w:val="000000"/>
          <w:lang w:eastAsia="uk-UA"/>
        </w:rPr>
        <w:t xml:space="preserve"> експортери), митні органи, Торгово-промислова палата України та регіональні торгово-промислові палати визнають, що експертний висновок про походження товару, виданий експортеру Торгово-промисловою палатою України або регіональною торгово-промисловою палатою (далі </w:t>
      </w:r>
      <w:r w:rsidRPr="00B45A2B">
        <w:t>–</w:t>
      </w:r>
      <w:r w:rsidRPr="00FA1DD5">
        <w:rPr>
          <w:rFonts w:eastAsia="Times New Roman"/>
          <w:color w:val="000000"/>
          <w:lang w:eastAsia="uk-UA"/>
        </w:rPr>
        <w:t xml:space="preserve"> експертний висновок), є документом, що підтверджує право такого експортера на пільгу із сплати вивізного (експортного) мита, передбачену статтею 1</w:t>
      </w:r>
      <w:r w:rsidRPr="00FA1DD5">
        <w:rPr>
          <w:rFonts w:eastAsia="Times New Roman"/>
          <w:color w:val="000000"/>
          <w:bdr w:val="none" w:sz="0" w:space="0" w:color="auto" w:frame="1"/>
          <w:vertAlign w:val="superscript"/>
          <w:lang w:eastAsia="uk-UA"/>
        </w:rPr>
        <w:t>1</w:t>
      </w:r>
      <w:r>
        <w:rPr>
          <w:rFonts w:eastAsia="Times New Roman"/>
          <w:color w:val="000000"/>
          <w:lang w:eastAsia="uk-UA"/>
        </w:rPr>
        <w:t> Закону України «</w:t>
      </w:r>
      <w:r w:rsidRPr="00FA1DD5">
        <w:rPr>
          <w:rFonts w:eastAsia="Times New Roman"/>
          <w:color w:val="000000"/>
          <w:lang w:eastAsia="uk-UA"/>
        </w:rPr>
        <w:t>Про ставки вивізного (експортного) мита на насін</w:t>
      </w:r>
      <w:r>
        <w:rPr>
          <w:rFonts w:eastAsia="Times New Roman"/>
          <w:color w:val="000000"/>
          <w:lang w:eastAsia="uk-UA"/>
        </w:rPr>
        <w:t>ня деяких видів олійних культур».</w:t>
      </w:r>
    </w:p>
    <w:p w:rsidR="00441F16" w:rsidRPr="00FA1DD5" w:rsidRDefault="00441F16" w:rsidP="00441F16">
      <w:pPr>
        <w:ind w:firstLine="567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lastRenderedPageBreak/>
        <w:t>Е</w:t>
      </w:r>
      <w:r w:rsidRPr="00FA1DD5">
        <w:rPr>
          <w:rFonts w:eastAsia="Times New Roman"/>
          <w:color w:val="000000"/>
          <w:lang w:eastAsia="uk-UA"/>
        </w:rPr>
        <w:t xml:space="preserve">кспертні висновки для цілей цієї постанови видаються експортерам Торгово-промисловою палатою України та регіональними торгово-промисловими палатами на кожну окрему партію сільськогосподарської продукції, </w:t>
      </w:r>
      <w:r>
        <w:rPr>
          <w:rFonts w:eastAsia="Times New Roman"/>
          <w:color w:val="000000"/>
          <w:lang w:eastAsia="uk-UA"/>
        </w:rPr>
        <w:t>що експортується.</w:t>
      </w:r>
    </w:p>
    <w:p w:rsidR="00441F16" w:rsidRDefault="00441F16" w:rsidP="00441F16">
      <w:pPr>
        <w:ind w:firstLine="567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>Д</w:t>
      </w:r>
      <w:r w:rsidRPr="00FA1DD5">
        <w:rPr>
          <w:rFonts w:eastAsia="Times New Roman"/>
          <w:color w:val="000000"/>
          <w:lang w:eastAsia="uk-UA"/>
        </w:rPr>
        <w:t>ія підпунктів 1 і 2 цього пункту не поширюється на операції з експорту сільськогосподарської продукції, що здійснюються на підставі договорів про надання посередницьких послуг (зокрема договору комісії, консигнації, доручення, агентського договору), та на сільськогосподарські кооперативи, створені та/або зареєстровані після набрання чинності статтею 1</w:t>
      </w:r>
      <w:r w:rsidRPr="00FA1DD5">
        <w:rPr>
          <w:rFonts w:eastAsia="Times New Roman"/>
          <w:color w:val="000000"/>
          <w:bdr w:val="none" w:sz="0" w:space="0" w:color="auto" w:frame="1"/>
          <w:vertAlign w:val="superscript"/>
          <w:lang w:eastAsia="uk-UA"/>
        </w:rPr>
        <w:t>1</w:t>
      </w:r>
      <w:r>
        <w:rPr>
          <w:rFonts w:eastAsia="Times New Roman"/>
          <w:color w:val="000000"/>
          <w:lang w:eastAsia="uk-UA"/>
        </w:rPr>
        <w:t> Закону України «</w:t>
      </w:r>
      <w:r w:rsidRPr="00FA1DD5">
        <w:rPr>
          <w:rFonts w:eastAsia="Times New Roman"/>
          <w:color w:val="000000"/>
          <w:lang w:eastAsia="uk-UA"/>
        </w:rPr>
        <w:t>Про ставки вивізного (експортного) мита на насін</w:t>
      </w:r>
      <w:r>
        <w:rPr>
          <w:rFonts w:eastAsia="Times New Roman"/>
          <w:color w:val="000000"/>
          <w:lang w:eastAsia="uk-UA"/>
        </w:rPr>
        <w:t>ня деяких видів олійних культур»</w:t>
      </w:r>
      <w:r w:rsidRPr="00FA1DD5">
        <w:rPr>
          <w:rFonts w:eastAsia="Times New Roman"/>
          <w:color w:val="000000"/>
          <w:lang w:eastAsia="uk-UA"/>
        </w:rPr>
        <w:t>.</w:t>
      </w:r>
    </w:p>
    <w:p w:rsidR="00441F16" w:rsidRPr="00EC4188" w:rsidRDefault="00441F16" w:rsidP="00441F16">
      <w:pPr>
        <w:shd w:val="clear" w:color="auto" w:fill="FFFFFF"/>
        <w:ind w:firstLine="567"/>
        <w:rPr>
          <w:rFonts w:eastAsia="Times New Roman"/>
          <w:lang w:eastAsia="uk-UA"/>
        </w:rPr>
      </w:pPr>
      <w:r>
        <w:t xml:space="preserve">Згідно зі статтею 82 </w:t>
      </w:r>
      <w:r>
        <w:rPr>
          <w:rFonts w:ascii="IBM Plex Serif" w:eastAsia="Times New Roman" w:hAnsi="IBM Plex Serif"/>
          <w:color w:val="293A55"/>
          <w:sz w:val="24"/>
          <w:szCs w:val="24"/>
          <w:lang w:eastAsia="uk-UA"/>
        </w:rPr>
        <w:t xml:space="preserve"> </w:t>
      </w:r>
      <w:r>
        <w:rPr>
          <w:rFonts w:eastAsia="Times New Roman"/>
          <w:color w:val="293A55"/>
          <w:lang w:eastAsia="uk-UA"/>
        </w:rPr>
        <w:t>К</w:t>
      </w:r>
      <w:r w:rsidRPr="00EC4188">
        <w:t>одексу е</w:t>
      </w:r>
      <w:r w:rsidRPr="00EC4188">
        <w:rPr>
          <w:rFonts w:eastAsia="Times New Roman"/>
          <w:lang w:eastAsia="uk-UA"/>
        </w:rPr>
        <w:t xml:space="preserve">кспорт (остаточне вивезення) </w:t>
      </w:r>
      <w:r w:rsidRPr="00EC4188">
        <w:t>–</w:t>
      </w:r>
      <w:r w:rsidRPr="00EC4188">
        <w:rPr>
          <w:rFonts w:eastAsia="Times New Roman"/>
          <w:lang w:eastAsia="uk-UA"/>
        </w:rPr>
        <w:t xml:space="preserve"> це </w:t>
      </w:r>
      <w:hyperlink r:id="rId8" w:tgtFrame="_blank" w:history="1">
        <w:r w:rsidRPr="00EC4188">
          <w:rPr>
            <w:rStyle w:val="a3"/>
            <w:rFonts w:eastAsia="Times New Roman"/>
            <w:color w:val="auto"/>
            <w:u w:val="none"/>
            <w:lang w:eastAsia="uk-UA"/>
          </w:rPr>
          <w:t>митний режим</w:t>
        </w:r>
      </w:hyperlink>
      <w:r w:rsidRPr="00EC4188">
        <w:rPr>
          <w:rFonts w:eastAsia="Times New Roman"/>
          <w:lang w:eastAsia="uk-UA"/>
        </w:rPr>
        <w:t>, відповідно до якого </w:t>
      </w:r>
      <w:hyperlink r:id="rId9" w:tgtFrame="_blank" w:history="1">
        <w:r w:rsidRPr="00EC4188">
          <w:rPr>
            <w:rStyle w:val="a3"/>
            <w:rFonts w:eastAsia="Times New Roman"/>
            <w:color w:val="auto"/>
            <w:u w:val="none"/>
            <w:lang w:eastAsia="uk-UA"/>
          </w:rPr>
          <w:t>українські товари</w:t>
        </w:r>
      </w:hyperlink>
      <w:r w:rsidRPr="00EC4188">
        <w:rPr>
          <w:rFonts w:eastAsia="Times New Roman"/>
          <w:lang w:eastAsia="uk-UA"/>
        </w:rPr>
        <w:t> випускаються для вільного обігу за межами мит</w:t>
      </w:r>
      <w:r>
        <w:rPr>
          <w:rFonts w:eastAsia="Times New Roman"/>
          <w:lang w:eastAsia="uk-UA"/>
        </w:rPr>
        <w:t>ної території України без зобов’</w:t>
      </w:r>
      <w:r w:rsidRPr="00EC4188">
        <w:rPr>
          <w:rFonts w:eastAsia="Times New Roman"/>
          <w:lang w:eastAsia="uk-UA"/>
        </w:rPr>
        <w:t xml:space="preserve">язань щодо їх зворотного ввезення. </w:t>
      </w:r>
      <w:r>
        <w:rPr>
          <w:rFonts w:eastAsia="Times New Roman"/>
          <w:lang w:eastAsia="uk-UA"/>
        </w:rPr>
        <w:t xml:space="preserve"> </w:t>
      </w:r>
    </w:p>
    <w:p w:rsidR="00441F16" w:rsidRPr="001A2F82" w:rsidRDefault="00441F16" w:rsidP="00441F16">
      <w:pPr>
        <w:shd w:val="clear" w:color="auto" w:fill="FFFFFF"/>
        <w:ind w:firstLine="567"/>
        <w:rPr>
          <w:rFonts w:eastAsia="Times New Roman"/>
          <w:lang w:eastAsia="uk-UA"/>
        </w:rPr>
      </w:pPr>
      <w:r w:rsidRPr="001A2F82">
        <w:rPr>
          <w:rFonts w:eastAsia="Times New Roman"/>
          <w:lang w:eastAsia="uk-UA"/>
        </w:rPr>
        <w:t>Для поміщення товарів у митний режим </w:t>
      </w:r>
      <w:hyperlink r:id="rId10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експорту</w:t>
        </w:r>
      </w:hyperlink>
      <w:r w:rsidRPr="001A2F82">
        <w:rPr>
          <w:rFonts w:eastAsia="Times New Roman"/>
          <w:lang w:eastAsia="uk-UA"/>
        </w:rPr>
        <w:t> особа, на яку покладається дотримання вимог митного режиму, повинна:</w:t>
      </w:r>
    </w:p>
    <w:p w:rsidR="00441F16" w:rsidRPr="001A2F82" w:rsidRDefault="00441F16" w:rsidP="00441F16">
      <w:pPr>
        <w:shd w:val="clear" w:color="auto" w:fill="FFFFFF"/>
        <w:rPr>
          <w:rFonts w:eastAsia="Times New Roman"/>
          <w:lang w:eastAsia="uk-UA"/>
        </w:rPr>
      </w:pPr>
      <w:r w:rsidRPr="001A2F82">
        <w:rPr>
          <w:rFonts w:eastAsia="Times New Roman"/>
          <w:lang w:eastAsia="uk-UA"/>
        </w:rPr>
        <w:t>1) подати </w:t>
      </w:r>
      <w:hyperlink r:id="rId11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митному органу</w:t>
        </w:r>
      </w:hyperlink>
      <w:r w:rsidRPr="001A2F82">
        <w:rPr>
          <w:rFonts w:eastAsia="Times New Roman"/>
          <w:lang w:eastAsia="uk-UA"/>
        </w:rPr>
        <w:t>, що здійснює </w:t>
      </w:r>
      <w:hyperlink r:id="rId12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випуск товарів</w:t>
        </w:r>
      </w:hyperlink>
      <w:r w:rsidRPr="001A2F82">
        <w:rPr>
          <w:rFonts w:eastAsia="Times New Roman"/>
          <w:lang w:eastAsia="uk-UA"/>
        </w:rPr>
        <w:t> у митному режимі експорту, документи на такі товари;</w:t>
      </w:r>
    </w:p>
    <w:p w:rsidR="00441F16" w:rsidRPr="001A2F82" w:rsidRDefault="00441F16" w:rsidP="00441F16">
      <w:pPr>
        <w:shd w:val="clear" w:color="auto" w:fill="FFFFFF"/>
        <w:rPr>
          <w:rFonts w:eastAsia="Times New Roman"/>
          <w:lang w:eastAsia="uk-UA"/>
        </w:rPr>
      </w:pPr>
      <w:r w:rsidRPr="001A2F82">
        <w:rPr>
          <w:rFonts w:eastAsia="Times New Roman"/>
          <w:lang w:eastAsia="uk-UA"/>
        </w:rPr>
        <w:t>2) сплатити </w:t>
      </w:r>
      <w:hyperlink r:id="rId13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митні платежі</w:t>
        </w:r>
      </w:hyperlink>
      <w:r w:rsidRPr="001A2F82">
        <w:rPr>
          <w:rFonts w:eastAsia="Times New Roman"/>
          <w:lang w:eastAsia="uk-UA"/>
        </w:rPr>
        <w:t>, якими відповідно до закону обкладаються товари під час вивезення за межі митної території України у митному режимі експорту;</w:t>
      </w:r>
    </w:p>
    <w:p w:rsidR="00441F16" w:rsidRPr="001A2F82" w:rsidRDefault="00441F16" w:rsidP="00441F16">
      <w:pPr>
        <w:shd w:val="clear" w:color="auto" w:fill="FFFFFF"/>
        <w:rPr>
          <w:rFonts w:eastAsia="Times New Roman"/>
          <w:lang w:eastAsia="uk-UA"/>
        </w:rPr>
      </w:pPr>
      <w:r w:rsidRPr="001A2F82">
        <w:rPr>
          <w:rFonts w:eastAsia="Times New Roman"/>
          <w:lang w:eastAsia="uk-UA"/>
        </w:rPr>
        <w:t>3) виконати вимоги щодо застосування передбачених законом </w:t>
      </w:r>
      <w:hyperlink r:id="rId14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заходів нетарифного регулювання зовнішньоекономічної діяльності</w:t>
        </w:r>
      </w:hyperlink>
      <w:r w:rsidRPr="001A2F82">
        <w:rPr>
          <w:rFonts w:eastAsia="Times New Roman"/>
          <w:lang w:eastAsia="uk-UA"/>
        </w:rPr>
        <w:t>;</w:t>
      </w:r>
    </w:p>
    <w:p w:rsidR="00441F16" w:rsidRPr="001A2F82" w:rsidRDefault="00441F16" w:rsidP="00441F16">
      <w:pPr>
        <w:shd w:val="clear" w:color="auto" w:fill="FFFFFF"/>
        <w:rPr>
          <w:rFonts w:eastAsia="Times New Roman"/>
          <w:lang w:eastAsia="uk-UA"/>
        </w:rPr>
      </w:pPr>
      <w:r w:rsidRPr="001A2F82">
        <w:rPr>
          <w:rFonts w:eastAsia="Times New Roman"/>
          <w:lang w:eastAsia="uk-UA"/>
        </w:rPr>
        <w:t>4) у випадках, встановлених законодавством, подати </w:t>
      </w:r>
      <w:hyperlink r:id="rId15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митному органу</w:t>
        </w:r>
      </w:hyperlink>
      <w:r w:rsidRPr="001A2F82">
        <w:rPr>
          <w:rFonts w:eastAsia="Times New Roman"/>
          <w:lang w:eastAsia="uk-UA"/>
        </w:rPr>
        <w:t> дозвіл на проведення зовнішньоекономічної операції з вивезення товарів у третю країну (</w:t>
      </w:r>
      <w:hyperlink r:id="rId16" w:tgtFrame="_blank" w:history="1">
        <w:r w:rsidRPr="001A2F82">
          <w:rPr>
            <w:rStyle w:val="a3"/>
            <w:rFonts w:eastAsia="Times New Roman"/>
            <w:color w:val="auto"/>
            <w:u w:val="none"/>
            <w:lang w:eastAsia="uk-UA"/>
          </w:rPr>
          <w:t>реекспорт</w:t>
        </w:r>
      </w:hyperlink>
      <w:r w:rsidRPr="001A2F82">
        <w:rPr>
          <w:rFonts w:eastAsia="Times New Roman"/>
          <w:lang w:eastAsia="uk-UA"/>
        </w:rPr>
        <w:t>) (частина друга статті 83 Кодексу).</w:t>
      </w:r>
    </w:p>
    <w:p w:rsidR="00441F16" w:rsidRPr="00EC4188" w:rsidRDefault="00441F16" w:rsidP="00441F16">
      <w:pPr>
        <w:ind w:firstLine="567"/>
        <w:outlineLvl w:val="0"/>
      </w:pPr>
      <w:r>
        <w:t xml:space="preserve">Частиною 7 статті 260 Кодексу встановлено, що для пропуску товарів, транспортних засобів комерційного призначення відповідно до заявленого митного режиму, що вивозяться за межі митної території України за періодичною митною декларацією, застосовуються заходи </w:t>
      </w:r>
      <w:r w:rsidRPr="00EC4188">
        <w:t>тарифного й нетарифного регулювання зовнішньоекономічної діяльності, чинні на день пропуску цих товарів через митний кордон України.</w:t>
      </w:r>
    </w:p>
    <w:p w:rsidR="00FD3B31" w:rsidRDefault="00BA03AF" w:rsidP="00441F16">
      <w:pPr>
        <w:ind w:firstLine="567"/>
      </w:pPr>
      <w:r>
        <w:t>Митне офо</w:t>
      </w:r>
      <w:r w:rsidR="00FD3B31">
        <w:t>рмлення товару «насіння ріпаку «00»</w:t>
      </w:r>
      <w:r>
        <w:t xml:space="preserve">, генетично немодифікованого, продовольчого вищого класу, врожаю 2025 року…» </w:t>
      </w:r>
      <w:r w:rsidR="00FD3B31">
        <w:t xml:space="preserve">                     </w:t>
      </w:r>
      <w:r>
        <w:t xml:space="preserve">(код 1205 10 90 00 згідно з УКТЗЕД) за МД від </w:t>
      </w:r>
      <w:r w:rsidRPr="009B355A">
        <w:rPr/>
        <w:t>ff06821363648fc1418e16287c0dba5b6378e955d69a7d7e590fa3a96b88ba4b</w:t>
      </w:r>
      <w:r>
        <w:t xml:space="preserve"> </w:t>
      </w:r>
      <w:r w:rsidR="00FD3B31">
        <w:t xml:space="preserve">                                                            </w:t>
      </w:r>
      <w:r>
        <w:t xml:space="preserve">№ </w:t>
      </w:r>
      <w:r w:rsidRPr="009B355A">
        <w:rPr/>
        <w:t>d1a609bd46da653cc41a550cc9f7bf94580725e22b4e2bfac9f66c7df7361284</w:t>
      </w:r>
      <w:r>
        <w:t xml:space="preserve"> (експортер </w:t>
      </w:r>
      <w:r w:rsidR="009B355A">
        <w:t>Особа 1</w:t>
      </w:r>
      <w:r>
        <w:t xml:space="preserve">, код ЄДРПОУ </w:t>
      </w:r>
      <w:r w:rsidRPr="009B355A">
        <w:rPr/>
        <w:t>69e9b97715c356221b81bfc8a4a85f0e77a08f5bebfca4917ea1919429b4a7fd</w:t>
      </w:r>
      <w:r>
        <w:t xml:space="preserve">), яка є додатковою до періодичної митної декларації, здійснено зі сплатою вивізного (експортного) мита за </w:t>
      </w:r>
      <w:r w:rsidR="00FD3B31">
        <w:t xml:space="preserve">ставкою 10 </w:t>
      </w:r>
      <w:proofErr w:type="spellStart"/>
      <w:r w:rsidR="00FD3B31">
        <w:t>відс</w:t>
      </w:r>
      <w:proofErr w:type="spellEnd"/>
      <w:r w:rsidR="00FD3B31">
        <w:t>. від митної вартості</w:t>
      </w:r>
      <w:r>
        <w:t xml:space="preserve">. Товар вивезено за межі митної території України за періодичною митною декларацією типу </w:t>
      </w:r>
      <w:r w:rsidR="00FD3B31">
        <w:t>«</w:t>
      </w:r>
      <w:r>
        <w:t>ЕК 10 РР</w:t>
      </w:r>
      <w:r w:rsidR="00FD3B31">
        <w:t>»</w:t>
      </w:r>
      <w:r>
        <w:t xml:space="preserve"> від </w:t>
      </w:r>
      <w:r w:rsidRPr="009B355A">
        <w:rPr/>
        <w:t>5cc232303ddb9a84b1cacaa021dd1e41b067ddfd50f671df639dec60576781bc</w:t>
      </w:r>
      <w:r>
        <w:t xml:space="preserve"> № </w:t>
      </w:r>
      <w:r w:rsidRPr="009B355A">
        <w:rPr/>
        <w:t>1e8feaed19c29296b068666063c22ba914599495e286bea575a56e885a0f5c73</w:t>
      </w:r>
      <w:r>
        <w:t xml:space="preserve">. </w:t>
      </w:r>
    </w:p>
    <w:p w:rsidR="00441F16" w:rsidRDefault="00441F16" w:rsidP="00441F16">
      <w:pPr>
        <w:ind w:firstLine="567"/>
      </w:pPr>
      <w:r w:rsidRPr="0003538F">
        <w:t xml:space="preserve">При цьому </w:t>
      </w:r>
      <w:r>
        <w:t xml:space="preserve">необхідно </w:t>
      </w:r>
      <w:r w:rsidRPr="0003538F">
        <w:t>зазнач</w:t>
      </w:r>
      <w:r>
        <w:t>ити</w:t>
      </w:r>
      <w:r w:rsidRPr="0003538F">
        <w:t>, що</w:t>
      </w:r>
      <w:r>
        <w:t xml:space="preserve"> на момент вивезення цього товару за межі митної території України механізм документального підтвердження,</w:t>
      </w:r>
      <w:r w:rsidRPr="001A10CA">
        <w:t xml:space="preserve"> </w:t>
      </w:r>
      <w:r>
        <w:lastRenderedPageBreak/>
        <w:t xml:space="preserve">необхідного для надання звільнення від сплати вивізного (експортного) мита сільськогосподарським товаровиробникам при здійсненні </w:t>
      </w:r>
      <w:r>
        <w:rPr>
          <w:color w:val="000000"/>
        </w:rPr>
        <w:t xml:space="preserve">експорту власно вирощеної сільськогосподарської продукції та сільськогосподарським кооперативам, які експортують сою, ріпак та кользу, що вирощені членами цього </w:t>
      </w:r>
      <w:r>
        <w:t xml:space="preserve">кооперативу, визначений </w:t>
      </w:r>
      <w:r>
        <w:rPr>
          <w:bCs/>
          <w:color w:val="000000"/>
          <w:lang w:eastAsia="uk-UA"/>
        </w:rPr>
        <w:t xml:space="preserve">постановою № 1256, </w:t>
      </w:r>
      <w:r>
        <w:t>був</w:t>
      </w:r>
      <w:r w:rsidRPr="00ED2B91">
        <w:t xml:space="preserve"> </w:t>
      </w:r>
      <w:r>
        <w:t>відсутній, що унеможливлювало практичне застосування положень Закону № 4536.</w:t>
      </w:r>
    </w:p>
    <w:p w:rsidR="00AA4F96" w:rsidRDefault="00FD3B31" w:rsidP="00441F16">
      <w:pPr>
        <w:ind w:firstLine="567"/>
      </w:pPr>
      <w:r>
        <w:t xml:space="preserve">Крім того, відповідно до пункту 34 Положення про митні декларації, затвердженого постановою Кабінету Міністрів України від 21 травня 2012 року № 450 «Питання, пов’язані із застосуванням митних декларацій» не дозволяється внесення змін до митної декларації за формою єдиного адміністративного документа з метою подання відомостей у випадках, коли Митним кодексом України передбачена необхідність подання з цією метою додаткової декларації. </w:t>
      </w:r>
    </w:p>
    <w:p w:rsidR="00FD3B31" w:rsidRDefault="00AA4F96" w:rsidP="00441F16">
      <w:pPr>
        <w:ind w:firstLine="567"/>
      </w:pPr>
      <w:r>
        <w:t>Таким чином</w:t>
      </w:r>
      <w:r w:rsidR="00FD3B31">
        <w:t xml:space="preserve">, внесення змін до МД від </w:t>
      </w:r>
      <w:r w:rsidR="00FD3B31" w:rsidRPr="009B355A">
        <w:rPr/>
        <w:t>5cc232303ddb9a84b1cacaa021dd1e41b067ddfd50f671df639dec60576781bc</w:t>
      </w:r>
      <w:r>
        <w:t xml:space="preserve">                                                                    </w:t>
      </w:r>
      <w:r w:rsidR="00FD3B31">
        <w:t xml:space="preserve">№ </w:t>
      </w:r>
      <w:r w:rsidR="00FD3B31" w:rsidRPr="009B355A">
        <w:rPr/>
        <w:t>5d2c90dbc19a84fa2614a38500cbac9485fa0aea60acf1ba2fcd9ed4343c7bf8</w:t>
      </w:r>
      <w:r w:rsidR="00FD3B31">
        <w:t xml:space="preserve"> </w:t>
      </w:r>
      <w:r>
        <w:t xml:space="preserve">та від </w:t>
      </w:r>
      <w:r w:rsidRPr="009B355A">
        <w:rPr/>
        <w:t>ff06821363648fc1418e16287c0dba5b6378e955d69a7d7e590fa3a96b88ba4b</w:t>
      </w:r>
      <w:r>
        <w:t xml:space="preserve"> № </w:t>
      </w:r>
      <w:r w:rsidRPr="009B355A">
        <w:rPr/>
        <w:t>d1a609bd46da653cc41a550cc9f7bf94580725e22b4e2bfac9f66c7df7361284</w:t>
      </w:r>
      <w:r w:rsidR="009569C0">
        <w:t xml:space="preserve"> </w:t>
      </w:r>
      <w:r>
        <w:t xml:space="preserve">щодо звільнення вказаного вище товару від оподаткування вивізним (експортним) митом </w:t>
      </w:r>
      <w:r w:rsidR="009569C0">
        <w:t xml:space="preserve">є </w:t>
      </w:r>
      <w:r>
        <w:t>неможлив</w:t>
      </w:r>
      <w:r w:rsidR="009569C0">
        <w:t>им</w:t>
      </w:r>
      <w:r>
        <w:t>.</w:t>
      </w:r>
      <w:r w:rsidR="00FD3B31">
        <w:t xml:space="preserve"> 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Враховуючи викладене, а також положення пункту 3 частини першої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>Кодексу, Державна митна служба України вирішила:</w:t>
      </w:r>
    </w:p>
    <w:p w:rsidR="00441F16" w:rsidRPr="00ED2B91" w:rsidRDefault="00441F16" w:rsidP="00441F16">
      <w:pPr>
        <w:autoSpaceDE w:val="0"/>
        <w:autoSpaceDN w:val="0"/>
        <w:adjustRightInd w:val="0"/>
        <w:ind w:firstLine="567"/>
      </w:pPr>
      <w:r w:rsidRPr="00ED2B91">
        <w:t xml:space="preserve">1. Залишити скаргу </w:t>
      </w:r>
      <w:r w:rsidR="009B355A">
        <w:rPr>
          <w:rFonts w:ascii="TimesNewRomanPSMT" w:hAnsi="TimesNewRomanPSMT" w:cs="TimesNewRomanPSMT"/>
        </w:rPr>
        <w:t>Особи 1</w:t>
      </w:r>
      <w:r w:rsidR="006D6338">
        <w:rPr>
          <w:rFonts w:ascii="TimesNewRomanPSMT" w:hAnsi="TimesNewRomanPSMT" w:cs="TimesNewRomanPSMT"/>
        </w:rPr>
        <w:t xml:space="preserve"> </w:t>
      </w:r>
      <w:r w:rsidR="006D6338">
        <w:rPr>
          <w:bCs/>
        </w:rPr>
        <w:t>від 26.02.2026 № 29</w:t>
      </w:r>
      <w:r w:rsidR="006D6338" w:rsidRPr="003C4496">
        <w:rPr>
          <w:bCs/>
        </w:rPr>
        <w:t xml:space="preserve"> (</w:t>
      </w:r>
      <w:proofErr w:type="spellStart"/>
      <w:r w:rsidR="006D6338" w:rsidRPr="003C4496">
        <w:rPr>
          <w:bCs/>
        </w:rPr>
        <w:t>вх</w:t>
      </w:r>
      <w:proofErr w:type="spellEnd"/>
      <w:r w:rsidR="006D6338" w:rsidRPr="003C4496">
        <w:rPr>
          <w:bCs/>
        </w:rPr>
        <w:t xml:space="preserve">. Держмитслужби </w:t>
      </w:r>
      <w:r w:rsidR="009B355A">
        <w:rPr>
          <w:bCs/>
        </w:rPr>
        <w:t xml:space="preserve">                      </w:t>
      </w:r>
      <w:r w:rsidR="006D6338" w:rsidRPr="003C4496">
        <w:rPr>
          <w:bCs/>
        </w:rPr>
        <w:t xml:space="preserve">№ </w:t>
      </w:r>
      <w:r w:rsidR="006D6338" w:rsidRPr="009B355A">
        <w:rPr>
          <w:bCs/>
        </w:rPr>
        <w:t>062533b18234a7fc72071f36e834a4d4205a3e9f1e3e3172ed96b7c562c97485</w:t>
      </w:r>
      <w:r w:rsidR="006D6338">
        <w:rPr>
          <w:bCs/>
        </w:rPr>
        <w:t xml:space="preserve"> </w:t>
      </w:r>
      <w:r w:rsidR="006D6338" w:rsidRPr="003C4496">
        <w:rPr>
          <w:bCs/>
        </w:rPr>
        <w:t xml:space="preserve">від </w:t>
      </w:r>
      <w:r w:rsidR="006D6338" w:rsidRPr="009B355A">
        <w:rPr>
          <w:bCs/>
        </w:rPr>
        <w:t>2b11fdb99ae24ae67587a6e53e8e320108e7ed835eb73883bd73f121b2438e07</w:t>
      </w:r>
      <w:r w:rsidR="006D6338" w:rsidRPr="003C4496">
        <w:rPr>
          <w:bCs/>
        </w:rPr>
        <w:t xml:space="preserve">) </w:t>
      </w:r>
      <w:r w:rsidR="006D6338">
        <w:rPr>
          <w:bCs/>
        </w:rPr>
        <w:t xml:space="preserve">на рішення </w:t>
      </w:r>
      <w:r w:rsidR="006D6338" w:rsidRPr="00871E26">
        <w:rPr>
          <w:sz w:val="27"/>
          <w:szCs w:val="27"/>
        </w:rPr>
        <w:t xml:space="preserve">митниці </w:t>
      </w:r>
      <w:r w:rsidR="006D6338">
        <w:rPr>
          <w:sz w:val="27"/>
          <w:szCs w:val="27"/>
        </w:rPr>
        <w:t xml:space="preserve">від </w:t>
      </w:r>
      <w:r w:rsidR="006D6338" w:rsidRPr="009B355A">
        <w:rPr>
          <w:sz w:val="27"/>
          <w:szCs w:val="27"/>
        </w:rPr>
        <w:t>29a4899fbd012a83082b9a96e0425e81048b6768b43dc32bb318fcfd1a4c4e70</w:t>
      </w:r>
      <w:r w:rsidR="006D6338">
        <w:rPr>
          <w:sz w:val="27"/>
          <w:szCs w:val="27"/>
        </w:rPr>
        <w:t xml:space="preserve"> </w:t>
      </w:r>
      <w:r w:rsidR="009B355A">
        <w:rPr>
          <w:sz w:val="27"/>
          <w:szCs w:val="27"/>
        </w:rPr>
        <w:t xml:space="preserve">                                                  </w:t>
      </w:r>
      <w:r w:rsidR="006D6338">
        <w:rPr>
          <w:sz w:val="27"/>
          <w:szCs w:val="27"/>
        </w:rPr>
        <w:t xml:space="preserve">№ </w:t>
      </w:r>
      <w:r w:rsidR="006D6338" w:rsidRPr="009B355A">
        <w:rPr>
          <w:sz w:val="27"/>
          <w:szCs w:val="27"/>
        </w:rPr>
        <w:t>58430c0aca496b893e0bb834c111791424aca8da9062f5d53bbff03221bb4bd7</w:t>
      </w:r>
      <w:r w:rsidR="006D6338">
        <w:rPr>
          <w:sz w:val="27"/>
          <w:szCs w:val="27"/>
        </w:rPr>
        <w:t xml:space="preserve"> </w:t>
      </w:r>
      <w:r w:rsidR="006D6338">
        <w:rPr>
          <w:bCs/>
        </w:rPr>
        <w:t xml:space="preserve">щодо </w:t>
      </w:r>
      <w:r w:rsidR="006D6338">
        <w:rPr>
          <w:sz w:val="27"/>
          <w:szCs w:val="27"/>
        </w:rPr>
        <w:t>відмови</w:t>
      </w:r>
      <w:r w:rsidR="006D6338" w:rsidRPr="00871E26">
        <w:rPr>
          <w:sz w:val="27"/>
          <w:szCs w:val="27"/>
        </w:rPr>
        <w:t xml:space="preserve"> </w:t>
      </w:r>
      <w:r w:rsidR="006D6338">
        <w:rPr>
          <w:sz w:val="27"/>
          <w:szCs w:val="27"/>
        </w:rPr>
        <w:t xml:space="preserve">у внесення змін до митної декларації від </w:t>
      </w:r>
      <w:r w:rsidR="006D6338" w:rsidRPr="009B355A">
        <w:rPr>
          <w:sz w:val="27"/>
          <w:szCs w:val="27"/>
        </w:rPr>
        <w:t>ff06821363648fc1418e16287c0dba5b6378e955d69a7d7e590fa3a96b88ba4b</w:t>
      </w:r>
      <w:r w:rsidR="009B355A">
        <w:rPr>
          <w:sz w:val="27"/>
          <w:szCs w:val="27"/>
        </w:rPr>
        <w:t xml:space="preserve"> №</w:t>
      </w:r>
      <w:r w:rsidR="006D6338">
        <w:rPr>
          <w:sz w:val="27"/>
          <w:szCs w:val="27"/>
        </w:rPr>
        <w:t xml:space="preserve"> </w:t>
      </w:r>
      <w:r w:rsidR="006D6338" w:rsidRPr="009B355A">
        <w:rPr>
          <w:sz w:val="27"/>
          <w:szCs w:val="27"/>
        </w:rPr>
        <w:t>b7a56873cd771f2c446d369b649430b65a756ba278ff97ec81bb6f55b2e73569</w:t>
      </w:r>
      <w:r w:rsidR="006D6338" w:rsidRPr="009B355A">
        <w:rPr>
          <w:sz w:val="27"/>
          <w:szCs w:val="27"/>
          <w:lang w:val="en-US"/>
        </w:rPr>
        <w:t>1cf587e0bafeb6195595fcbdce170411d52ea40dc4e3582aa9bb272d6a4a01a8</w:t>
      </w:r>
      <w:r w:rsidR="006D6338" w:rsidRPr="009B355A">
        <w:rPr>
          <w:sz w:val="27"/>
          <w:szCs w:val="27"/>
        </w:rPr>
        <w:t>50fd2c19c1f34dd37a9399c591d624b054afde548ade70a0e78cfffd65fd66ac</w:t>
      </w:r>
      <w:r w:rsidR="006D6338" w:rsidRPr="009B355A">
        <w:rPr>
          <w:sz w:val="27"/>
          <w:szCs w:val="27"/>
          <w:lang w:val="en-US"/>
        </w:rPr>
        <w:t>a25513c7e0f6eaa80a3337ee18081b9e2ed09e00af8531c8f7bb2542764027e7</w:t>
      </w:r>
      <w:r w:rsidR="006D6338" w:rsidRPr="009B355A">
        <w:rPr>
          <w:sz w:val="27"/>
          <w:szCs w:val="27"/>
        </w:rPr>
        <w:t>6b86b273ff34fce19d6b804eff5a3f5747ada4eaa22f1d49c01e52ddb7875b4b</w:t>
      </w:r>
      <w:r w:rsidR="006D6338">
        <w:rPr>
          <w:sz w:val="27"/>
          <w:szCs w:val="27"/>
        </w:rPr>
        <w:t xml:space="preserve"> </w:t>
      </w:r>
      <w:r w:rsidRPr="00ED2B91">
        <w:t>без задоволення.</w:t>
      </w:r>
      <w:r>
        <w:t xml:space="preserve"> 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</w:t>
      </w:r>
      <w:r w:rsidR="009569C0">
        <w:rPr>
          <w:bCs/>
        </w:rPr>
        <w:t xml:space="preserve">Рішення </w:t>
      </w:r>
      <w:r w:rsidR="009569C0" w:rsidRPr="00871E26">
        <w:rPr>
          <w:sz w:val="27"/>
          <w:szCs w:val="27"/>
        </w:rPr>
        <w:t xml:space="preserve">митниці </w:t>
      </w:r>
      <w:r w:rsidR="009569C0">
        <w:rPr>
          <w:sz w:val="27"/>
          <w:szCs w:val="27"/>
        </w:rPr>
        <w:t xml:space="preserve">від </w:t>
      </w:r>
      <w:r w:rsidR="009569C0" w:rsidRPr="009B355A">
        <w:rPr>
          <w:sz w:val="27"/>
          <w:szCs w:val="27"/>
        </w:rPr>
        <w:t>29a4899fbd012a83082b9a96e0425e81048b6768b43dc32bb318fcfd1a4c4e70</w:t>
      </w:r>
      <w:r w:rsidR="009569C0">
        <w:rPr>
          <w:sz w:val="27"/>
          <w:szCs w:val="27"/>
        </w:rPr>
        <w:t xml:space="preserve"> № </w:t>
      </w:r>
      <w:r w:rsidR="009569C0" w:rsidRPr="009B355A">
        <w:rPr>
          <w:sz w:val="27"/>
          <w:szCs w:val="27"/>
        </w:rPr>
        <w:t>58430c0aca496b893e0bb834c111791424aca8da9062f5d53bbff03221bb4bd7</w:t>
      </w:r>
      <w:r w:rsidR="009569C0">
        <w:rPr>
          <w:sz w:val="27"/>
          <w:szCs w:val="27"/>
        </w:rPr>
        <w:t xml:space="preserve"> </w:t>
      </w:r>
      <w:r w:rsidR="009569C0">
        <w:rPr>
          <w:bCs/>
        </w:rPr>
        <w:t xml:space="preserve">щодо </w:t>
      </w:r>
      <w:r w:rsidR="009569C0">
        <w:rPr>
          <w:sz w:val="27"/>
          <w:szCs w:val="27"/>
        </w:rPr>
        <w:t>відмови</w:t>
      </w:r>
      <w:r w:rsidR="009569C0" w:rsidRPr="00871E26">
        <w:rPr>
          <w:sz w:val="27"/>
          <w:szCs w:val="27"/>
        </w:rPr>
        <w:t xml:space="preserve"> </w:t>
      </w:r>
      <w:r w:rsidR="009569C0">
        <w:rPr>
          <w:sz w:val="27"/>
          <w:szCs w:val="27"/>
        </w:rPr>
        <w:t xml:space="preserve">у внесенні змін до митних декларацій </w:t>
      </w:r>
      <w:r w:rsidR="009569C0">
        <w:t xml:space="preserve">від </w:t>
      </w:r>
      <w:r w:rsidR="009569C0" w:rsidRPr="009B355A">
        <w:rPr/>
        <w:t>5cc232303ddb9a84b1cacaa021dd1e41b067ddfd50f671df639dec60576781bc</w:t>
      </w:r>
      <w:r w:rsidR="009B355A">
        <w:t xml:space="preserve"> </w:t>
      </w:r>
      <w:r w:rsidR="009569C0">
        <w:t xml:space="preserve">№ </w:t>
      </w:r>
      <w:r w:rsidR="009569C0" w:rsidRPr="009B355A">
        <w:rPr/>
        <w:t>1e8feaed19c29296b068666063c22ba914599495e286bea575a56e885a0f5c73</w:t>
      </w:r>
      <w:r w:rsidR="009569C0">
        <w:t xml:space="preserve"> та </w:t>
      </w:r>
      <w:r w:rsidR="009569C0">
        <w:rPr>
          <w:sz w:val="27"/>
          <w:szCs w:val="27"/>
        </w:rPr>
        <w:t xml:space="preserve">від </w:t>
      </w:r>
      <w:r w:rsidR="009569C0" w:rsidRPr="009B355A">
        <w:rPr>
          <w:sz w:val="27"/>
          <w:szCs w:val="27"/>
        </w:rPr>
        <w:t>ff06821363648fc1418e16287c0dba5b6378e955d69a7d7e590fa3a96b88ba4b</w:t>
      </w:r>
      <w:r w:rsidR="009569C0">
        <w:rPr>
          <w:sz w:val="27"/>
          <w:szCs w:val="27"/>
        </w:rPr>
        <w:t xml:space="preserve"> № </w:t>
      </w:r>
      <w:r w:rsidR="009569C0" w:rsidRPr="009B355A">
        <w:rPr>
          <w:sz w:val="27"/>
          <w:szCs w:val="27"/>
        </w:rPr>
        <w:t>b7a56873cd771f2c446d369b649430b65a756ba278ff97ec81bb6f55b2e73569</w:t>
      </w:r>
      <w:r w:rsidR="009569C0" w:rsidRPr="009B355A">
        <w:rPr>
          <w:sz w:val="27"/>
          <w:szCs w:val="27"/>
          <w:lang w:val="en-US"/>
        </w:rPr>
        <w:t>1cf587e0bafeb6195595fcbdce170411d52ea40dc4e3582aa9bb272d6a4a01a8</w:t>
      </w:r>
      <w:r w:rsidR="009569C0" w:rsidRPr="009B355A">
        <w:rPr>
          <w:sz w:val="27"/>
          <w:szCs w:val="27"/>
        </w:rPr>
        <w:t>50fd2c19c1f34dd37a9399c591d624b054afde548ade70a0e78cfffd65fd66ac</w:t>
      </w:r>
      <w:r w:rsidR="009569C0" w:rsidRPr="009B355A">
        <w:rPr>
          <w:sz w:val="27"/>
          <w:szCs w:val="27"/>
          <w:lang w:val="en-US"/>
        </w:rPr>
        <w:t>a25513c7e0f6eaa80a3337ee18081b9e2ed09e00af8531c8f7bb2542764027e7</w:t>
      </w:r>
      <w:r w:rsidR="009569C0" w:rsidRPr="009B355A">
        <w:rPr>
          <w:sz w:val="27"/>
          <w:szCs w:val="27"/>
        </w:rPr>
        <w:t>6b86b273ff34fce19d6b804eff5a3f5747ada4eaa22f1d49c01e52ddb7875b4b</w:t>
      </w:r>
      <w:r>
        <w:rPr>
          <w:sz w:val="27"/>
          <w:szCs w:val="27"/>
        </w:rPr>
        <w:t xml:space="preserve"> </w:t>
      </w:r>
      <w:r>
        <w:rPr>
          <w:rFonts w:ascii="TimesNewRomanPSMT" w:hAnsi="TimesNewRomanPSMT" w:cs="TimesNewRomanPSMT"/>
        </w:rPr>
        <w:t>залишити без змін.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Відповідно до частини третьої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 xml:space="preserve">Кодексу особа, яка подала скаргу, у разі її незгоди з прийнятим рішенням має право його оскаржити у судовому порядку. </w:t>
      </w:r>
    </w:p>
    <w:p w:rsidR="00441F16" w:rsidRDefault="00441F16" w:rsidP="00441F16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</w:p>
    <w:p w:rsidR="00441F16" w:rsidRPr="009B355A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  <w:highlight w:val="yellow"/>
        </w:rPr>
      </w:pPr>
      <w:r>
        <w:rPr>
          <w:rFonts w:ascii="TimesNewRomanPSMT" w:hAnsi="TimesNewRomanPSMT" w:cs="TimesNewRomanPSMT"/>
        </w:rPr>
        <w:t xml:space="preserve">Директор Департаменту </w:t>
      </w:r>
      <w:r w:rsidRPr="009B355A">
        <w:rPr>
          <w:rFonts w:ascii="TimesNewRomanPSMT" w:hAnsi="TimesNewRomanPSMT" w:cs="TimesNewRomanPSMT"/>
        </w:rPr>
        <w:t>33ba06250dbc6172f7882e877351fa0be92d1e2e61aed2a1793741ed3e531f7b</w:t>
      </w:r>
    </w:p>
    <w:p w:rsidR="00441F16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B355A">
        <w:rPr>
          <w:rFonts w:ascii="TimesNewRomanPSMT" w:hAnsi="TimesNewRomanPSMT" w:cs="TimesNewRomanPSMT"/>
        </w:rPr>
        <w:t>29e3ade51fcbbb6ec71d55cf687044fbfead908470b1c29139452fa551157132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9B355A">
        <w:rPr>
          <w:rFonts w:ascii="TimesNewRomanPSMT" w:hAnsi="TimesNewRomanPSMT" w:cs="TimesNewRomanPSMT"/>
        </w:rPr>
        <w:t>d1b3e277ef60ed232c4bfb21cab03942dde3e0cafc56d886757e8dceb4b8d9ea</w:t>
      </w:r>
    </w:p>
    <w:p w:rsidR="00441F16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41F16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41F16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441F16" w:rsidRPr="00A351EC" w:rsidRDefault="00441F16" w:rsidP="00441F16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9B355A">
        <w:rPr>
          <w:rFonts w:ascii="TimesNewRomanPSMT" w:hAnsi="TimesNewRomanPSMT" w:cs="TimesNewRomanPSMT"/>
          <w:sz w:val="24"/>
          <w:szCs w:val="24"/>
        </w:rPr>
        <w:t>f635c83947a048f616320b88faebe56328962eabbf158e50c89ae72e7425bb81</w:t>
      </w:r>
      <w:proofErr w:type="spellStart"/>
      <w:r w:rsidRPr="009B355A">
        <w:rPr>
          <w:rFonts w:ascii="TimesNewRomanPSMT" w:hAnsi="TimesNewRomanPSMT" w:cs="TimesNewRomanPSMT"/>
          <w:sz w:val="24"/>
          <w:szCs w:val="24"/>
        </w:rPr>
        <w:t>b446b9bbcba9b6be1db7c0520cafd89f96b40c59380a11a75dbfda0fa7fb04b2</w:t>
      </w:r>
      <w:proofErr w:type="spellEnd"/>
      <w:r w:rsidRPr="009B355A">
        <w:rPr>
          <w:rFonts w:ascii="TimesNewRomanPSMT" w:hAnsi="TimesNewRomanPSMT" w:cs="TimesNewRomanPSMT"/>
          <w:sz w:val="24"/>
          <w:szCs w:val="24"/>
        </w:rPr>
        <w:t>d1bb7e58be01a9f2882c041a74d6cad23a2366c427322690b3b53af9729b85fd</w:t>
      </w:r>
    </w:p>
    <w:p w:rsidR="00FB62CF" w:rsidRDefault="00441F16" w:rsidP="009B273B">
      <w:pPr>
        <w:autoSpaceDE w:val="0"/>
        <w:autoSpaceDN w:val="0"/>
        <w:adjustRightInd w:val="0"/>
      </w:pPr>
      <w:r w:rsidRPr="009B355A">
        <w:rPr>
          <w:rFonts w:ascii="TimesNewRomanPSMT" w:hAnsi="TimesNewRomanPSMT" w:cs="TimesNewRomanPSMT"/>
          <w:sz w:val="24"/>
          <w:szCs w:val="24"/>
        </w:rPr>
        <w:t>285c627b848a701e43974c66c30fc3bc88ae33520b2a76f7044c5f8e0ebf6abb</w:t>
      </w:r>
      <w:bookmarkStart w:id="0" w:name="_GoBack"/>
      <w:bookmarkEnd w:id="0"/>
    </w:p>
    <w:sectPr w:rsidR="00FB62CF" w:rsidSect="006317BD">
      <w:headerReference w:type="default" r:id="rId17"/>
      <w:pgSz w:w="11906" w:h="16838"/>
      <w:pgMar w:top="1134" w:right="680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31" w:rsidRDefault="00351931">
      <w:r>
        <w:separator/>
      </w:r>
    </w:p>
  </w:endnote>
  <w:endnote w:type="continuationSeparator" w:id="0">
    <w:p w:rsidR="00351931" w:rsidRDefault="0035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IBM Plex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31" w:rsidRDefault="00351931">
      <w:r>
        <w:separator/>
      </w:r>
    </w:p>
  </w:footnote>
  <w:footnote w:type="continuationSeparator" w:id="0">
    <w:p w:rsidR="00351931" w:rsidRDefault="0035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536383"/>
      <w:docPartObj>
        <w:docPartGallery w:val="Page Numbers (Top of Page)"/>
        <w:docPartUnique/>
      </w:docPartObj>
    </w:sdtPr>
    <w:sdtEndPr/>
    <w:sdtContent>
      <w:p w:rsidR="006317BD" w:rsidRDefault="009B27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55A" w:rsidRPr="009B355A">
          <w:rPr>
            <w:noProof/>
            <w:lang w:val="ru-RU"/>
          </w:rPr>
          <w:t>4</w:t>
        </w:r>
        <w:r>
          <w:fldChar w:fldCharType="end"/>
        </w:r>
      </w:p>
    </w:sdtContent>
  </w:sdt>
  <w:p w:rsidR="006317BD" w:rsidRDefault="003519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16"/>
    <w:rsid w:val="00147C7A"/>
    <w:rsid w:val="00351931"/>
    <w:rsid w:val="00441F16"/>
    <w:rsid w:val="006D6338"/>
    <w:rsid w:val="008C0860"/>
    <w:rsid w:val="0092692A"/>
    <w:rsid w:val="009569C0"/>
    <w:rsid w:val="009B273B"/>
    <w:rsid w:val="009B355A"/>
    <w:rsid w:val="00AA4F96"/>
    <w:rsid w:val="00BA03AF"/>
    <w:rsid w:val="00C65997"/>
    <w:rsid w:val="00FB62CF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5694"/>
  <w15:chartTrackingRefBased/>
  <w15:docId w15:val="{96F62D7A-27DC-4EC1-87D8-C182C2E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1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1F16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441F16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 Знак"/>
    <w:basedOn w:val="a0"/>
    <w:link w:val="a4"/>
    <w:uiPriority w:val="10"/>
    <w:rsid w:val="00441F1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41F1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41F1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ips.ligazakon.net/document/view/t124495?an=58" TargetMode="External"/><Relationship Id="rId13" Type="http://schemas.openxmlformats.org/officeDocument/2006/relationships/hyperlink" Target="https://ips.ligazakon.net/document/view/t124495?an=6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@customs.gov.ua" TargetMode="External"/><Relationship Id="rId12" Type="http://schemas.openxmlformats.org/officeDocument/2006/relationships/hyperlink" Target="https://ips.ligazakon.net/document/view/t124495?an=3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t124495?an=83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ps.ligazakon.net/document/view/t200440?ed=2020_01_14&amp;an=15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ps.ligazakon.net/document/view/t200440?ed=2020_01_14&amp;an=159" TargetMode="External"/><Relationship Id="rId10" Type="http://schemas.openxmlformats.org/officeDocument/2006/relationships/hyperlink" Target="https://ips.ligazakon.net/document/view/t124495?an=81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ps.ligazakon.net/document/view/t124495?an=106" TargetMode="External"/><Relationship Id="rId14" Type="http://schemas.openxmlformats.org/officeDocument/2006/relationships/hyperlink" Target="https://ips.ligazakon.net/document/view/t124495?an=3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6510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2026-03-10T12:27:00Z</dcterms:created>
  <dcterms:modified xsi:type="dcterms:W3CDTF">2026-03-10T12:34:00Z</dcterms:modified>
</cp:coreProperties>
</file>