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1A32B0" w:rsidRDefault="006E0648" w:rsidP="001A32B0">
      <w:pPr>
        <w:ind w:firstLine="567"/>
        <w:contextualSpacing/>
        <w:jc w:val="both"/>
        <w:rPr>
          <w:b/>
        </w:rPr>
      </w:pPr>
      <w:r w:rsidRPr="001A32B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1A32B0" w:rsidRDefault="002E22B7" w:rsidP="001A32B0">
      <w:pPr>
        <w:ind w:firstLine="567"/>
        <w:contextualSpacing/>
        <w:jc w:val="both"/>
        <w:rPr>
          <w:b/>
        </w:rPr>
      </w:pPr>
    </w:p>
    <w:p w14:paraId="23F02F84" w14:textId="6642168E" w:rsidR="006E0648" w:rsidRPr="001A32B0" w:rsidRDefault="00F5430D" w:rsidP="001A32B0">
      <w:pPr>
        <w:ind w:firstLine="567"/>
        <w:contextualSpacing/>
        <w:jc w:val="both"/>
      </w:pPr>
      <w:r w:rsidRPr="001A32B0">
        <w:rPr>
          <w:b/>
        </w:rPr>
        <w:t>Закарпатська митниця</w:t>
      </w:r>
      <w:r w:rsidR="00452DA4" w:rsidRPr="001A32B0">
        <w:rPr>
          <w:b/>
        </w:rPr>
        <w:t>;</w:t>
      </w:r>
      <w:r w:rsidR="00452DA4" w:rsidRPr="001A32B0">
        <w:t xml:space="preserve"> </w:t>
      </w:r>
      <w:r w:rsidRPr="001A32B0">
        <w:rPr>
          <w:color w:val="2C2931"/>
          <w:shd w:val="clear" w:color="auto" w:fill="FFFFFF"/>
        </w:rPr>
        <w:t>88000, Закарпатська область, Ужгород, Собранецька, 20</w:t>
      </w:r>
      <w:r w:rsidR="006E0648" w:rsidRPr="001A32B0">
        <w:t xml:space="preserve">; код ЄДРПОУ </w:t>
      </w:r>
      <w:r w:rsidR="006438F8" w:rsidRPr="001A32B0">
        <w:t>ВП:</w:t>
      </w:r>
      <w:r w:rsidRPr="001A32B0">
        <w:t xml:space="preserve"> </w:t>
      </w:r>
      <w:r w:rsidRPr="001A32B0">
        <w:rPr>
          <w:color w:val="2C2931"/>
          <w:shd w:val="clear" w:color="auto" w:fill="FFFFFF"/>
        </w:rPr>
        <w:t>43985560</w:t>
      </w:r>
      <w:r w:rsidR="006E0648" w:rsidRPr="001A32B0">
        <w:t>; категорія замовника – орган державної  влади.</w:t>
      </w:r>
    </w:p>
    <w:p w14:paraId="505BA49B" w14:textId="77777777" w:rsidR="006E0648" w:rsidRPr="001A32B0" w:rsidRDefault="006E0648" w:rsidP="001A32B0">
      <w:pPr>
        <w:ind w:firstLine="567"/>
        <w:contextualSpacing/>
        <w:jc w:val="both"/>
      </w:pPr>
    </w:p>
    <w:p w14:paraId="12896E25" w14:textId="77777777" w:rsidR="002E22B7" w:rsidRPr="001A32B0" w:rsidRDefault="006E0648" w:rsidP="001A32B0">
      <w:pPr>
        <w:ind w:firstLine="567"/>
        <w:contextualSpacing/>
        <w:jc w:val="both"/>
        <w:rPr>
          <w:b/>
        </w:rPr>
      </w:pPr>
      <w:r w:rsidRPr="001A32B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1A32B0" w:rsidRDefault="002E22B7" w:rsidP="001A32B0">
      <w:pPr>
        <w:ind w:firstLine="567"/>
        <w:contextualSpacing/>
        <w:jc w:val="both"/>
      </w:pPr>
    </w:p>
    <w:p w14:paraId="5E4459CC" w14:textId="315B2E74" w:rsidR="007B7D98" w:rsidRPr="001A32B0" w:rsidRDefault="001A32B0" w:rsidP="001A32B0">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1A32B0">
        <w:rPr>
          <w:rFonts w:ascii="Times New Roman" w:hAnsi="Times New Roman" w:cs="Times New Roman"/>
          <w:color w:val="2C2931"/>
          <w:sz w:val="24"/>
          <w:szCs w:val="24"/>
          <w:shd w:val="clear" w:color="auto" w:fill="FFFFFF"/>
        </w:rPr>
        <w:t>Послуги з поточного ремонту та технічного обслуговування автоматичної установки охоронної сигналізації</w:t>
      </w:r>
      <w:r w:rsidR="00DC0ECE" w:rsidRPr="001A32B0">
        <w:rPr>
          <w:rFonts w:ascii="Times New Roman" w:hAnsi="Times New Roman" w:cs="Times New Roman"/>
          <w:color w:val="2C2931"/>
          <w:sz w:val="24"/>
          <w:szCs w:val="24"/>
          <w:shd w:val="clear" w:color="auto" w:fill="FFFFFF"/>
        </w:rPr>
        <w:t xml:space="preserve"> </w:t>
      </w:r>
      <w:r w:rsidR="00D067E2" w:rsidRPr="001A32B0">
        <w:rPr>
          <w:rFonts w:ascii="Times New Roman" w:eastAsia="Times New Roman" w:hAnsi="Times New Roman" w:cs="Times New Roman"/>
          <w:b w:val="0"/>
          <w:bCs w:val="0"/>
          <w:kern w:val="0"/>
          <w:sz w:val="24"/>
          <w:szCs w:val="24"/>
          <w:lang w:eastAsia="ru-RU"/>
        </w:rPr>
        <w:t xml:space="preserve">за кодом ДК 021:2015: </w:t>
      </w:r>
      <w:r w:rsidRPr="001A32B0">
        <w:rPr>
          <w:rFonts w:ascii="Times New Roman" w:hAnsi="Times New Roman" w:cs="Times New Roman"/>
          <w:sz w:val="24"/>
          <w:szCs w:val="24"/>
          <w:shd w:val="clear" w:color="auto" w:fill="FFFFFF"/>
        </w:rPr>
        <w:t>50410000-2 Послуги з ремонту і технічного обслуговування вимірювальних, випробувальних і контрольних приладів</w:t>
      </w:r>
      <w:r w:rsidR="00F5430D" w:rsidRPr="001A32B0">
        <w:rPr>
          <w:rFonts w:ascii="Times New Roman" w:hAnsi="Times New Roman" w:cs="Times New Roman"/>
          <w:color w:val="222222"/>
          <w:sz w:val="24"/>
          <w:szCs w:val="24"/>
          <w:shd w:val="clear" w:color="auto" w:fill="FFFFFF"/>
          <w:lang w:val="ru-RU"/>
        </w:rPr>
        <w:t>.</w:t>
      </w:r>
    </w:p>
    <w:p w14:paraId="0A605214" w14:textId="77777777" w:rsidR="0063692F" w:rsidRPr="001A32B0" w:rsidRDefault="0063692F" w:rsidP="001A32B0">
      <w:pPr>
        <w:rPr>
          <w:rFonts w:eastAsia="Calibri"/>
          <w:lang w:eastAsia="uk-UA"/>
        </w:rPr>
      </w:pPr>
    </w:p>
    <w:p w14:paraId="101ADDBA" w14:textId="7261B0EA" w:rsidR="00C908AE" w:rsidRPr="001A32B0" w:rsidRDefault="006E0648" w:rsidP="001A32B0">
      <w:pPr>
        <w:tabs>
          <w:tab w:val="left" w:pos="360"/>
          <w:tab w:val="left" w:pos="567"/>
        </w:tabs>
        <w:ind w:firstLine="567"/>
        <w:contextualSpacing/>
        <w:jc w:val="both"/>
        <w:rPr>
          <w:b/>
        </w:rPr>
      </w:pPr>
      <w:r w:rsidRPr="001A32B0">
        <w:rPr>
          <w:b/>
        </w:rPr>
        <w:t>3. Ідентифікатор закупів</w:t>
      </w:r>
      <w:r w:rsidR="007C2BD8" w:rsidRPr="001A32B0">
        <w:rPr>
          <w:b/>
        </w:rPr>
        <w:t>л</w:t>
      </w:r>
      <w:r w:rsidR="00AF41A4" w:rsidRPr="001A32B0">
        <w:rPr>
          <w:b/>
        </w:rPr>
        <w:t>і</w:t>
      </w:r>
      <w:r w:rsidRPr="001A32B0">
        <w:rPr>
          <w:b/>
        </w:rPr>
        <w:t>: —</w:t>
      </w:r>
      <w:r w:rsidR="000274C4" w:rsidRPr="001A32B0">
        <w:rPr>
          <w:b/>
        </w:rPr>
        <w:t xml:space="preserve"> </w:t>
      </w:r>
      <w:bookmarkStart w:id="0" w:name="_GoBack"/>
      <w:r w:rsidR="001A32B0" w:rsidRPr="001A32B0">
        <w:rPr>
          <w:rFonts w:eastAsia="Batang"/>
          <w:b/>
          <w:shd w:val="clear" w:color="auto" w:fill="FFFFFF"/>
        </w:rPr>
        <w:t>UA-2025-09-24-015416-a</w:t>
      </w:r>
      <w:r w:rsidR="00F5430D" w:rsidRPr="001A32B0">
        <w:rPr>
          <w:rFonts w:eastAsia="Batang"/>
          <w:b/>
          <w:shd w:val="clear" w:color="auto" w:fill="FFFFFF"/>
        </w:rPr>
        <w:t>.</w:t>
      </w:r>
      <w:bookmarkEnd w:id="0"/>
    </w:p>
    <w:p w14:paraId="21F9E478" w14:textId="77777777" w:rsidR="00445D32" w:rsidRPr="001A32B0" w:rsidRDefault="00445D32" w:rsidP="001A32B0">
      <w:pPr>
        <w:tabs>
          <w:tab w:val="left" w:pos="360"/>
          <w:tab w:val="left" w:pos="567"/>
        </w:tabs>
        <w:contextualSpacing/>
        <w:jc w:val="both"/>
        <w:rPr>
          <w:b/>
        </w:rPr>
      </w:pPr>
    </w:p>
    <w:p w14:paraId="71B8F525" w14:textId="77777777" w:rsidR="00006754" w:rsidRPr="001A32B0" w:rsidRDefault="00A0247F" w:rsidP="001A32B0">
      <w:pPr>
        <w:ind w:firstLine="567"/>
        <w:contextualSpacing/>
        <w:jc w:val="both"/>
      </w:pPr>
      <w:r w:rsidRPr="001A32B0">
        <w:rPr>
          <w:b/>
        </w:rPr>
        <w:t>4. Обґрунтування технічних та якісних характеристик предмета закупівлі:</w:t>
      </w:r>
      <w:r w:rsidRPr="001A32B0">
        <w:t xml:space="preserve"> технічні та якісні характеристики предмета закупівлі визначені відповідно до потреб замовника</w:t>
      </w:r>
      <w:r w:rsidR="00006754" w:rsidRPr="001A32B0">
        <w:t>.</w:t>
      </w:r>
    </w:p>
    <w:p w14:paraId="2AF7E7B2" w14:textId="77777777" w:rsidR="00F5430D" w:rsidRPr="001A32B0" w:rsidRDefault="00F5430D" w:rsidP="001A32B0">
      <w:pPr>
        <w:contextualSpacing/>
        <w:jc w:val="center"/>
        <w:rPr>
          <w:b/>
          <w:bCs/>
        </w:rPr>
      </w:pPr>
    </w:p>
    <w:p w14:paraId="1ED4FD03" w14:textId="77777777" w:rsidR="001A32B0" w:rsidRPr="001A32B0" w:rsidRDefault="001A32B0" w:rsidP="001A32B0">
      <w:pPr>
        <w:jc w:val="center"/>
        <w:rPr>
          <w:b/>
          <w:i/>
        </w:rPr>
      </w:pPr>
      <w:r w:rsidRPr="001A32B0">
        <w:rPr>
          <w:b/>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1A32B0">
        <w:rPr>
          <w:b/>
          <w:i/>
        </w:rPr>
        <w:t xml:space="preserve"> </w:t>
      </w:r>
    </w:p>
    <w:p w14:paraId="6BFB24C5" w14:textId="77777777" w:rsidR="001A32B0" w:rsidRPr="001A32B0" w:rsidRDefault="001A32B0" w:rsidP="001A32B0">
      <w:pPr>
        <w:ind w:right="-142"/>
        <w:contextualSpacing/>
        <w:jc w:val="center"/>
        <w:rPr>
          <w:b/>
          <w:bCs/>
        </w:rPr>
      </w:pPr>
    </w:p>
    <w:p w14:paraId="1CBE7AC0" w14:textId="77777777" w:rsidR="001A32B0" w:rsidRPr="001A32B0" w:rsidRDefault="001A32B0" w:rsidP="001A32B0">
      <w:pPr>
        <w:widowControl w:val="0"/>
      </w:pPr>
      <w:r w:rsidRPr="001A32B0">
        <w:rPr>
          <w:b/>
          <w:color w:val="000000"/>
        </w:rPr>
        <w:t xml:space="preserve">ЗАМОВНИК </w:t>
      </w:r>
      <w:r w:rsidRPr="001A32B0">
        <w:rPr>
          <w:color w:val="000000"/>
        </w:rPr>
        <w:t xml:space="preserve">– Державна митна служба України в особі </w:t>
      </w:r>
      <w:r w:rsidRPr="001A32B0">
        <w:t>Закарпатської митниці, як її відокремленого підрозділу</w:t>
      </w:r>
    </w:p>
    <w:p w14:paraId="5277E1DA" w14:textId="77777777" w:rsidR="001A32B0" w:rsidRPr="001A32B0" w:rsidRDefault="001A32B0" w:rsidP="001A32B0">
      <w:pPr>
        <w:rPr>
          <w:b/>
        </w:rPr>
      </w:pPr>
    </w:p>
    <w:p w14:paraId="5C205AAF" w14:textId="77777777" w:rsidR="001A32B0" w:rsidRPr="001A32B0" w:rsidRDefault="001A32B0" w:rsidP="001A32B0">
      <w:pPr>
        <w:widowControl w:val="0"/>
        <w:tabs>
          <w:tab w:val="left" w:pos="851"/>
          <w:tab w:val="left" w:pos="993"/>
          <w:tab w:val="left" w:pos="1134"/>
        </w:tabs>
        <w:overflowPunct w:val="0"/>
        <w:autoSpaceDE w:val="0"/>
        <w:autoSpaceDN w:val="0"/>
        <w:adjustRightInd w:val="0"/>
        <w:ind w:firstLine="567"/>
        <w:jc w:val="both"/>
        <w:textAlignment w:val="baseline"/>
      </w:pPr>
      <w:r w:rsidRPr="001A32B0">
        <w:t xml:space="preserve">Перелік  обладнання, матеріалів та послуг, за якими будуть </w:t>
      </w:r>
      <w:proofErr w:type="spellStart"/>
      <w:r w:rsidRPr="001A32B0">
        <w:t>здійснюватись</w:t>
      </w:r>
      <w:proofErr w:type="spellEnd"/>
      <w:r w:rsidRPr="001A32B0">
        <w:t xml:space="preserve"> послуги з поточного ремонту та технічного обслуговування автоматичної установки охоронної сигналізації (</w:t>
      </w:r>
      <w:proofErr w:type="spellStart"/>
      <w:r w:rsidRPr="001A32B0">
        <w:t>інв</w:t>
      </w:r>
      <w:proofErr w:type="spellEnd"/>
      <w:r w:rsidRPr="001A32B0">
        <w:t xml:space="preserve">. № 10491141) у приміщенні, що визначено «складом митниці», а саме в складі </w:t>
      </w:r>
      <w:proofErr w:type="spellStart"/>
      <w:r w:rsidRPr="001A32B0">
        <w:t>конфіскатів</w:t>
      </w:r>
      <w:proofErr w:type="spellEnd"/>
      <w:r w:rsidRPr="001A32B0">
        <w:t xml:space="preserve"> модульного типу площею 252,3 </w:t>
      </w:r>
      <w:proofErr w:type="spellStart"/>
      <w:r w:rsidRPr="001A32B0">
        <w:t>м.кв</w:t>
      </w:r>
      <w:proofErr w:type="spellEnd"/>
      <w:r w:rsidRPr="001A32B0">
        <w:t>, в будівлі ЗМ-1-01 (інвентарний номер 10310785 (комплекс,</w:t>
      </w:r>
      <w:r w:rsidRPr="001A32B0">
        <w:rPr>
          <w:lang w:val="ru-RU"/>
        </w:rPr>
        <w:t xml:space="preserve"> </w:t>
      </w:r>
      <w:r w:rsidRPr="001A32B0">
        <w:t xml:space="preserve">будівлі виробничо-господарського призначення, склад, А)) за адресою: м. Чоп, вул. </w:t>
      </w:r>
      <w:proofErr w:type="spellStart"/>
      <w:r w:rsidRPr="001A32B0">
        <w:t>Латорицька</w:t>
      </w:r>
      <w:proofErr w:type="spellEnd"/>
      <w:r w:rsidRPr="001A32B0">
        <w:t>, 12. Код ДК 021:2015:50410000-2 Послуги з ремонту і технічного обслуговування вимірювальних, випробувальних і контрольних приладів (надалі - Послуги).</w:t>
      </w:r>
    </w:p>
    <w:p w14:paraId="6043DA64" w14:textId="77777777" w:rsidR="001A32B0" w:rsidRPr="001A32B0" w:rsidRDefault="001A32B0" w:rsidP="001A32B0">
      <w:pPr>
        <w:widowControl w:val="0"/>
        <w:tabs>
          <w:tab w:val="left" w:pos="851"/>
          <w:tab w:val="left" w:pos="993"/>
          <w:tab w:val="left" w:pos="1134"/>
        </w:tabs>
        <w:overflowPunct w:val="0"/>
        <w:autoSpaceDE w:val="0"/>
        <w:autoSpaceDN w:val="0"/>
        <w:adjustRightInd w:val="0"/>
        <w:ind w:left="-284" w:firstLine="426"/>
        <w:jc w:val="both"/>
        <w:textAlignment w:val="baseline"/>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5236"/>
        <w:gridCol w:w="1706"/>
        <w:gridCol w:w="1683"/>
      </w:tblGrid>
      <w:tr w:rsidR="001A32B0" w:rsidRPr="001A32B0" w14:paraId="08F8BE05" w14:textId="77777777" w:rsidTr="002575B5">
        <w:trPr>
          <w:trHeight w:val="750"/>
        </w:trPr>
        <w:tc>
          <w:tcPr>
            <w:tcW w:w="959" w:type="dxa"/>
            <w:shd w:val="clear" w:color="auto" w:fill="auto"/>
            <w:vAlign w:val="center"/>
          </w:tcPr>
          <w:p w14:paraId="261E20F8" w14:textId="77777777" w:rsidR="001A32B0" w:rsidRPr="001A32B0" w:rsidRDefault="001A32B0" w:rsidP="001A32B0">
            <w:pPr>
              <w:jc w:val="center"/>
            </w:pPr>
            <w:r w:rsidRPr="001A32B0">
              <w:t>№ п/п</w:t>
            </w:r>
          </w:p>
        </w:tc>
        <w:tc>
          <w:tcPr>
            <w:tcW w:w="5361" w:type="dxa"/>
            <w:shd w:val="clear" w:color="auto" w:fill="auto"/>
            <w:vAlign w:val="center"/>
          </w:tcPr>
          <w:p w14:paraId="6CE3A07C" w14:textId="77777777" w:rsidR="001A32B0" w:rsidRPr="001A32B0" w:rsidRDefault="001A32B0" w:rsidP="001A32B0">
            <w:pPr>
              <w:jc w:val="center"/>
            </w:pPr>
            <w:r w:rsidRPr="001A32B0">
              <w:t>Найменування обладнання, матеріалів, послуг</w:t>
            </w:r>
          </w:p>
        </w:tc>
        <w:tc>
          <w:tcPr>
            <w:tcW w:w="1726" w:type="dxa"/>
            <w:shd w:val="clear" w:color="auto" w:fill="auto"/>
            <w:vAlign w:val="center"/>
          </w:tcPr>
          <w:p w14:paraId="73909F71" w14:textId="77777777" w:rsidR="001A32B0" w:rsidRPr="001A32B0" w:rsidRDefault="001A32B0" w:rsidP="001A32B0">
            <w:pPr>
              <w:jc w:val="center"/>
            </w:pPr>
            <w:r w:rsidRPr="001A32B0">
              <w:t>Одиниця виміру</w:t>
            </w:r>
          </w:p>
        </w:tc>
        <w:tc>
          <w:tcPr>
            <w:tcW w:w="1701" w:type="dxa"/>
            <w:shd w:val="clear" w:color="auto" w:fill="auto"/>
            <w:vAlign w:val="center"/>
          </w:tcPr>
          <w:p w14:paraId="0E41AF8F" w14:textId="77777777" w:rsidR="001A32B0" w:rsidRPr="001A32B0" w:rsidRDefault="001A32B0" w:rsidP="001A32B0">
            <w:pPr>
              <w:jc w:val="center"/>
            </w:pPr>
            <w:r w:rsidRPr="001A32B0">
              <w:t>Кількість</w:t>
            </w:r>
          </w:p>
        </w:tc>
      </w:tr>
      <w:tr w:rsidR="001A32B0" w:rsidRPr="001A32B0" w14:paraId="52527DF0" w14:textId="77777777" w:rsidTr="002575B5">
        <w:trPr>
          <w:trHeight w:val="566"/>
        </w:trPr>
        <w:tc>
          <w:tcPr>
            <w:tcW w:w="959" w:type="dxa"/>
            <w:shd w:val="clear" w:color="auto" w:fill="auto"/>
            <w:vAlign w:val="center"/>
          </w:tcPr>
          <w:p w14:paraId="499E7AB7" w14:textId="77777777" w:rsidR="001A32B0" w:rsidRPr="001A32B0" w:rsidRDefault="001A32B0" w:rsidP="001A32B0">
            <w:pPr>
              <w:jc w:val="center"/>
            </w:pPr>
            <w:r w:rsidRPr="001A32B0">
              <w:t>1.</w:t>
            </w:r>
          </w:p>
        </w:tc>
        <w:tc>
          <w:tcPr>
            <w:tcW w:w="5361" w:type="dxa"/>
            <w:shd w:val="clear" w:color="auto" w:fill="auto"/>
            <w:vAlign w:val="center"/>
          </w:tcPr>
          <w:p w14:paraId="5FD6A176" w14:textId="77777777" w:rsidR="001A32B0" w:rsidRPr="001A32B0" w:rsidRDefault="001A32B0" w:rsidP="001A32B0">
            <w:pPr>
              <w:pStyle w:val="1"/>
              <w:shd w:val="clear" w:color="auto" w:fill="FFFFFF"/>
              <w:spacing w:before="0" w:after="0"/>
              <w:rPr>
                <w:rFonts w:ascii="Times New Roman" w:hAnsi="Times New Roman" w:cs="Times New Roman"/>
                <w:b w:val="0"/>
                <w:color w:val="202020"/>
                <w:sz w:val="24"/>
                <w:szCs w:val="24"/>
              </w:rPr>
            </w:pPr>
            <w:r w:rsidRPr="001A32B0">
              <w:rPr>
                <w:rFonts w:ascii="Times New Roman" w:hAnsi="Times New Roman" w:cs="Times New Roman"/>
                <w:b w:val="0"/>
                <w:color w:val="202020"/>
                <w:sz w:val="24"/>
                <w:szCs w:val="24"/>
              </w:rPr>
              <w:t xml:space="preserve">Прилад </w:t>
            </w:r>
            <w:proofErr w:type="spellStart"/>
            <w:r w:rsidRPr="001A32B0">
              <w:rPr>
                <w:rFonts w:ascii="Times New Roman" w:hAnsi="Times New Roman" w:cs="Times New Roman"/>
                <w:b w:val="0"/>
                <w:color w:val="202020"/>
                <w:sz w:val="24"/>
                <w:szCs w:val="24"/>
              </w:rPr>
              <w:t>Ajax</w:t>
            </w:r>
            <w:proofErr w:type="spellEnd"/>
            <w:r w:rsidRPr="001A32B0">
              <w:rPr>
                <w:rFonts w:ascii="Times New Roman" w:hAnsi="Times New Roman" w:cs="Times New Roman"/>
                <w:b w:val="0"/>
                <w:color w:val="202020"/>
                <w:sz w:val="24"/>
                <w:szCs w:val="24"/>
              </w:rPr>
              <w:t xml:space="preserve"> </w:t>
            </w:r>
            <w:proofErr w:type="spellStart"/>
            <w:r w:rsidRPr="001A32B0">
              <w:rPr>
                <w:rFonts w:ascii="Times New Roman" w:hAnsi="Times New Roman" w:cs="Times New Roman"/>
                <w:b w:val="0"/>
                <w:color w:val="202020"/>
                <w:sz w:val="24"/>
                <w:szCs w:val="24"/>
              </w:rPr>
              <w:t>Hub</w:t>
            </w:r>
            <w:proofErr w:type="spellEnd"/>
            <w:r w:rsidRPr="001A32B0">
              <w:rPr>
                <w:rFonts w:ascii="Times New Roman" w:hAnsi="Times New Roman" w:cs="Times New Roman"/>
                <w:b w:val="0"/>
                <w:color w:val="202020"/>
                <w:sz w:val="24"/>
                <w:szCs w:val="24"/>
              </w:rPr>
              <w:t xml:space="preserve"> 2</w:t>
            </w:r>
          </w:p>
        </w:tc>
        <w:tc>
          <w:tcPr>
            <w:tcW w:w="1726" w:type="dxa"/>
            <w:shd w:val="clear" w:color="auto" w:fill="auto"/>
            <w:vAlign w:val="center"/>
          </w:tcPr>
          <w:p w14:paraId="47FD03AF" w14:textId="77777777" w:rsidR="001A32B0" w:rsidRPr="001A32B0" w:rsidRDefault="001A32B0" w:rsidP="001A32B0">
            <w:pPr>
              <w:jc w:val="center"/>
            </w:pPr>
            <w:r w:rsidRPr="001A32B0">
              <w:t>шт.</w:t>
            </w:r>
          </w:p>
        </w:tc>
        <w:tc>
          <w:tcPr>
            <w:tcW w:w="1701" w:type="dxa"/>
            <w:shd w:val="clear" w:color="auto" w:fill="auto"/>
            <w:vAlign w:val="center"/>
          </w:tcPr>
          <w:p w14:paraId="508325EB" w14:textId="77777777" w:rsidR="001A32B0" w:rsidRPr="001A32B0" w:rsidRDefault="001A32B0" w:rsidP="001A32B0">
            <w:pPr>
              <w:jc w:val="center"/>
            </w:pPr>
            <w:r w:rsidRPr="001A32B0">
              <w:t>1</w:t>
            </w:r>
          </w:p>
        </w:tc>
      </w:tr>
      <w:tr w:rsidR="001A32B0" w:rsidRPr="001A32B0" w14:paraId="434D4354" w14:textId="77777777" w:rsidTr="002575B5">
        <w:trPr>
          <w:trHeight w:val="551"/>
        </w:trPr>
        <w:tc>
          <w:tcPr>
            <w:tcW w:w="959" w:type="dxa"/>
            <w:shd w:val="clear" w:color="auto" w:fill="auto"/>
            <w:vAlign w:val="center"/>
          </w:tcPr>
          <w:p w14:paraId="41B64AA9" w14:textId="77777777" w:rsidR="001A32B0" w:rsidRPr="001A32B0" w:rsidRDefault="001A32B0" w:rsidP="001A32B0">
            <w:pPr>
              <w:jc w:val="center"/>
            </w:pPr>
            <w:r w:rsidRPr="001A32B0">
              <w:t>2.</w:t>
            </w:r>
          </w:p>
        </w:tc>
        <w:tc>
          <w:tcPr>
            <w:tcW w:w="5361" w:type="dxa"/>
            <w:shd w:val="clear" w:color="auto" w:fill="auto"/>
            <w:vAlign w:val="center"/>
          </w:tcPr>
          <w:p w14:paraId="095B1382" w14:textId="77777777" w:rsidR="001A32B0" w:rsidRPr="001A32B0" w:rsidRDefault="001A32B0" w:rsidP="001A32B0">
            <w:pPr>
              <w:pStyle w:val="1"/>
              <w:shd w:val="clear" w:color="auto" w:fill="FFFFFF"/>
              <w:spacing w:before="0" w:after="0"/>
              <w:rPr>
                <w:rFonts w:ascii="Times New Roman" w:hAnsi="Times New Roman" w:cs="Times New Roman"/>
                <w:b w:val="0"/>
                <w:color w:val="202020"/>
                <w:sz w:val="24"/>
                <w:szCs w:val="24"/>
              </w:rPr>
            </w:pPr>
            <w:r w:rsidRPr="001A32B0">
              <w:rPr>
                <w:rFonts w:ascii="Times New Roman" w:hAnsi="Times New Roman" w:cs="Times New Roman"/>
                <w:b w:val="0"/>
                <w:color w:val="202020"/>
                <w:sz w:val="24"/>
                <w:szCs w:val="24"/>
              </w:rPr>
              <w:t xml:space="preserve">Сповіщувач </w:t>
            </w:r>
            <w:proofErr w:type="spellStart"/>
            <w:r w:rsidRPr="001A32B0">
              <w:rPr>
                <w:rFonts w:ascii="Times New Roman" w:hAnsi="Times New Roman" w:cs="Times New Roman"/>
                <w:b w:val="0"/>
                <w:color w:val="202020"/>
                <w:sz w:val="24"/>
                <w:szCs w:val="24"/>
              </w:rPr>
              <w:t>MotionProtect</w:t>
            </w:r>
            <w:proofErr w:type="spellEnd"/>
          </w:p>
        </w:tc>
        <w:tc>
          <w:tcPr>
            <w:tcW w:w="1726" w:type="dxa"/>
            <w:shd w:val="clear" w:color="auto" w:fill="auto"/>
            <w:vAlign w:val="center"/>
          </w:tcPr>
          <w:p w14:paraId="06081B1A" w14:textId="77777777" w:rsidR="001A32B0" w:rsidRPr="001A32B0" w:rsidRDefault="001A32B0" w:rsidP="001A32B0">
            <w:pPr>
              <w:jc w:val="center"/>
            </w:pPr>
            <w:r w:rsidRPr="001A32B0">
              <w:t>шт.</w:t>
            </w:r>
          </w:p>
        </w:tc>
        <w:tc>
          <w:tcPr>
            <w:tcW w:w="1701" w:type="dxa"/>
            <w:shd w:val="clear" w:color="auto" w:fill="auto"/>
            <w:vAlign w:val="center"/>
          </w:tcPr>
          <w:p w14:paraId="000462C1" w14:textId="77777777" w:rsidR="001A32B0" w:rsidRPr="001A32B0" w:rsidRDefault="001A32B0" w:rsidP="001A32B0">
            <w:pPr>
              <w:jc w:val="center"/>
            </w:pPr>
            <w:r w:rsidRPr="001A32B0">
              <w:t>2</w:t>
            </w:r>
          </w:p>
        </w:tc>
      </w:tr>
      <w:tr w:rsidR="001A32B0" w:rsidRPr="001A32B0" w14:paraId="03DB1927" w14:textId="77777777" w:rsidTr="002575B5">
        <w:trPr>
          <w:trHeight w:val="566"/>
        </w:trPr>
        <w:tc>
          <w:tcPr>
            <w:tcW w:w="959" w:type="dxa"/>
            <w:shd w:val="clear" w:color="auto" w:fill="auto"/>
            <w:vAlign w:val="center"/>
          </w:tcPr>
          <w:p w14:paraId="061CD6B8" w14:textId="77777777" w:rsidR="001A32B0" w:rsidRPr="001A32B0" w:rsidRDefault="001A32B0" w:rsidP="001A32B0">
            <w:pPr>
              <w:jc w:val="center"/>
            </w:pPr>
            <w:r w:rsidRPr="001A32B0">
              <w:lastRenderedPageBreak/>
              <w:t>3.</w:t>
            </w:r>
          </w:p>
        </w:tc>
        <w:tc>
          <w:tcPr>
            <w:tcW w:w="5361" w:type="dxa"/>
            <w:shd w:val="clear" w:color="auto" w:fill="auto"/>
            <w:vAlign w:val="center"/>
          </w:tcPr>
          <w:p w14:paraId="1B661315" w14:textId="77777777" w:rsidR="001A32B0" w:rsidRPr="001A32B0" w:rsidRDefault="001A32B0" w:rsidP="001A32B0">
            <w:pPr>
              <w:pStyle w:val="1"/>
              <w:shd w:val="clear" w:color="auto" w:fill="FFFFFF"/>
              <w:spacing w:before="0" w:after="0"/>
              <w:rPr>
                <w:rFonts w:ascii="Times New Roman" w:hAnsi="Times New Roman" w:cs="Times New Roman"/>
                <w:b w:val="0"/>
                <w:color w:val="202020"/>
                <w:sz w:val="24"/>
                <w:szCs w:val="24"/>
              </w:rPr>
            </w:pPr>
            <w:r w:rsidRPr="001A32B0">
              <w:rPr>
                <w:rFonts w:ascii="Times New Roman" w:hAnsi="Times New Roman" w:cs="Times New Roman"/>
                <w:b w:val="0"/>
                <w:color w:val="202020"/>
                <w:sz w:val="24"/>
                <w:szCs w:val="24"/>
              </w:rPr>
              <w:t xml:space="preserve">Сповіщувач </w:t>
            </w:r>
            <w:proofErr w:type="spellStart"/>
            <w:r w:rsidRPr="001A32B0">
              <w:rPr>
                <w:rFonts w:ascii="Times New Roman" w:hAnsi="Times New Roman" w:cs="Times New Roman"/>
                <w:b w:val="0"/>
                <w:color w:val="202020"/>
                <w:sz w:val="24"/>
                <w:szCs w:val="24"/>
              </w:rPr>
              <w:t>CombiProtect</w:t>
            </w:r>
            <w:proofErr w:type="spellEnd"/>
          </w:p>
        </w:tc>
        <w:tc>
          <w:tcPr>
            <w:tcW w:w="1726" w:type="dxa"/>
            <w:shd w:val="clear" w:color="auto" w:fill="auto"/>
            <w:vAlign w:val="center"/>
          </w:tcPr>
          <w:p w14:paraId="35F6D5FC" w14:textId="77777777" w:rsidR="001A32B0" w:rsidRPr="001A32B0" w:rsidRDefault="001A32B0" w:rsidP="001A32B0">
            <w:pPr>
              <w:jc w:val="center"/>
            </w:pPr>
            <w:r w:rsidRPr="001A32B0">
              <w:t>шт.</w:t>
            </w:r>
          </w:p>
        </w:tc>
        <w:tc>
          <w:tcPr>
            <w:tcW w:w="1701" w:type="dxa"/>
            <w:shd w:val="clear" w:color="auto" w:fill="auto"/>
            <w:vAlign w:val="center"/>
          </w:tcPr>
          <w:p w14:paraId="597BF7B7" w14:textId="77777777" w:rsidR="001A32B0" w:rsidRPr="001A32B0" w:rsidRDefault="001A32B0" w:rsidP="001A32B0">
            <w:pPr>
              <w:jc w:val="center"/>
            </w:pPr>
            <w:r w:rsidRPr="001A32B0">
              <w:t>4</w:t>
            </w:r>
          </w:p>
        </w:tc>
      </w:tr>
      <w:tr w:rsidR="001A32B0" w:rsidRPr="001A32B0" w14:paraId="6AD7822A" w14:textId="77777777" w:rsidTr="002575B5">
        <w:trPr>
          <w:trHeight w:val="520"/>
        </w:trPr>
        <w:tc>
          <w:tcPr>
            <w:tcW w:w="959" w:type="dxa"/>
            <w:shd w:val="clear" w:color="auto" w:fill="auto"/>
            <w:vAlign w:val="center"/>
          </w:tcPr>
          <w:p w14:paraId="07608F57" w14:textId="77777777" w:rsidR="001A32B0" w:rsidRPr="001A32B0" w:rsidRDefault="001A32B0" w:rsidP="001A32B0">
            <w:pPr>
              <w:jc w:val="center"/>
            </w:pPr>
            <w:r w:rsidRPr="001A32B0">
              <w:t>4.</w:t>
            </w:r>
          </w:p>
        </w:tc>
        <w:tc>
          <w:tcPr>
            <w:tcW w:w="5361" w:type="dxa"/>
            <w:shd w:val="clear" w:color="auto" w:fill="auto"/>
            <w:vAlign w:val="center"/>
          </w:tcPr>
          <w:p w14:paraId="1E67A97D" w14:textId="77777777" w:rsidR="001A32B0" w:rsidRPr="001A32B0" w:rsidRDefault="001A32B0" w:rsidP="001A32B0">
            <w:pPr>
              <w:pStyle w:val="1"/>
              <w:shd w:val="clear" w:color="auto" w:fill="FFFFFF"/>
              <w:spacing w:before="0" w:after="0"/>
              <w:rPr>
                <w:rFonts w:ascii="Times New Roman" w:hAnsi="Times New Roman" w:cs="Times New Roman"/>
                <w:b w:val="0"/>
                <w:color w:val="202020"/>
                <w:sz w:val="24"/>
                <w:szCs w:val="24"/>
              </w:rPr>
            </w:pPr>
            <w:r w:rsidRPr="001A32B0">
              <w:rPr>
                <w:rFonts w:ascii="Times New Roman" w:hAnsi="Times New Roman" w:cs="Times New Roman"/>
                <w:b w:val="0"/>
                <w:color w:val="202020"/>
                <w:sz w:val="24"/>
                <w:szCs w:val="24"/>
              </w:rPr>
              <w:t xml:space="preserve">Сповіщувач </w:t>
            </w:r>
            <w:proofErr w:type="spellStart"/>
            <w:r w:rsidRPr="001A32B0">
              <w:rPr>
                <w:rFonts w:ascii="Times New Roman" w:hAnsi="Times New Roman" w:cs="Times New Roman"/>
                <w:b w:val="0"/>
                <w:color w:val="202020"/>
                <w:sz w:val="24"/>
                <w:szCs w:val="24"/>
              </w:rPr>
              <w:t>DoorProtect</w:t>
            </w:r>
            <w:proofErr w:type="spellEnd"/>
          </w:p>
        </w:tc>
        <w:tc>
          <w:tcPr>
            <w:tcW w:w="1726" w:type="dxa"/>
            <w:shd w:val="clear" w:color="auto" w:fill="auto"/>
            <w:vAlign w:val="center"/>
          </w:tcPr>
          <w:p w14:paraId="09DDF2AF" w14:textId="77777777" w:rsidR="001A32B0" w:rsidRPr="001A32B0" w:rsidRDefault="001A32B0" w:rsidP="001A32B0">
            <w:pPr>
              <w:jc w:val="center"/>
            </w:pPr>
            <w:r w:rsidRPr="001A32B0">
              <w:t>шт.</w:t>
            </w:r>
          </w:p>
        </w:tc>
        <w:tc>
          <w:tcPr>
            <w:tcW w:w="1701" w:type="dxa"/>
            <w:shd w:val="clear" w:color="auto" w:fill="auto"/>
            <w:vAlign w:val="center"/>
          </w:tcPr>
          <w:p w14:paraId="22B3E7FC" w14:textId="77777777" w:rsidR="001A32B0" w:rsidRPr="001A32B0" w:rsidRDefault="001A32B0" w:rsidP="001A32B0">
            <w:pPr>
              <w:jc w:val="center"/>
            </w:pPr>
            <w:r w:rsidRPr="001A32B0">
              <w:t>1</w:t>
            </w:r>
          </w:p>
        </w:tc>
      </w:tr>
      <w:tr w:rsidR="001A32B0" w:rsidRPr="001A32B0" w14:paraId="6F7C8B9F" w14:textId="77777777" w:rsidTr="002575B5">
        <w:trPr>
          <w:trHeight w:val="551"/>
        </w:trPr>
        <w:tc>
          <w:tcPr>
            <w:tcW w:w="959" w:type="dxa"/>
            <w:shd w:val="clear" w:color="auto" w:fill="auto"/>
            <w:vAlign w:val="center"/>
          </w:tcPr>
          <w:p w14:paraId="68A97A5E" w14:textId="77777777" w:rsidR="001A32B0" w:rsidRPr="001A32B0" w:rsidRDefault="001A32B0" w:rsidP="001A32B0">
            <w:pPr>
              <w:jc w:val="center"/>
            </w:pPr>
            <w:r w:rsidRPr="001A32B0">
              <w:t>5.</w:t>
            </w:r>
          </w:p>
        </w:tc>
        <w:tc>
          <w:tcPr>
            <w:tcW w:w="5361" w:type="dxa"/>
            <w:shd w:val="clear" w:color="auto" w:fill="auto"/>
            <w:vAlign w:val="center"/>
          </w:tcPr>
          <w:p w14:paraId="48C864C1" w14:textId="77777777" w:rsidR="001A32B0" w:rsidRPr="001A32B0" w:rsidRDefault="001A32B0" w:rsidP="001A32B0">
            <w:pPr>
              <w:pStyle w:val="1"/>
              <w:shd w:val="clear" w:color="auto" w:fill="FFFFFF"/>
              <w:spacing w:before="0" w:after="0"/>
              <w:rPr>
                <w:rFonts w:ascii="Times New Roman" w:hAnsi="Times New Roman" w:cs="Times New Roman"/>
                <w:b w:val="0"/>
                <w:color w:val="202020"/>
                <w:sz w:val="24"/>
                <w:szCs w:val="24"/>
              </w:rPr>
            </w:pPr>
            <w:r w:rsidRPr="001A32B0">
              <w:rPr>
                <w:rFonts w:ascii="Times New Roman" w:hAnsi="Times New Roman" w:cs="Times New Roman"/>
                <w:b w:val="0"/>
                <w:color w:val="202020"/>
                <w:sz w:val="24"/>
                <w:szCs w:val="24"/>
              </w:rPr>
              <w:t xml:space="preserve">Оповіщувач </w:t>
            </w:r>
            <w:proofErr w:type="spellStart"/>
            <w:r w:rsidRPr="001A32B0">
              <w:rPr>
                <w:rFonts w:ascii="Times New Roman" w:hAnsi="Times New Roman" w:cs="Times New Roman"/>
                <w:b w:val="0"/>
                <w:color w:val="202020"/>
                <w:sz w:val="24"/>
                <w:szCs w:val="24"/>
              </w:rPr>
              <w:t>StreetSiren</w:t>
            </w:r>
            <w:proofErr w:type="spellEnd"/>
          </w:p>
        </w:tc>
        <w:tc>
          <w:tcPr>
            <w:tcW w:w="1726" w:type="dxa"/>
            <w:shd w:val="clear" w:color="auto" w:fill="auto"/>
            <w:vAlign w:val="center"/>
          </w:tcPr>
          <w:p w14:paraId="4ACE1C93" w14:textId="77777777" w:rsidR="001A32B0" w:rsidRPr="001A32B0" w:rsidRDefault="001A32B0" w:rsidP="001A32B0">
            <w:pPr>
              <w:jc w:val="center"/>
            </w:pPr>
            <w:r w:rsidRPr="001A32B0">
              <w:t>шт.</w:t>
            </w:r>
          </w:p>
        </w:tc>
        <w:tc>
          <w:tcPr>
            <w:tcW w:w="1701" w:type="dxa"/>
            <w:shd w:val="clear" w:color="auto" w:fill="auto"/>
            <w:vAlign w:val="center"/>
          </w:tcPr>
          <w:p w14:paraId="602B12C9" w14:textId="77777777" w:rsidR="001A32B0" w:rsidRPr="001A32B0" w:rsidRDefault="001A32B0" w:rsidP="001A32B0">
            <w:pPr>
              <w:jc w:val="center"/>
            </w:pPr>
            <w:r w:rsidRPr="001A32B0">
              <w:t>1</w:t>
            </w:r>
          </w:p>
        </w:tc>
      </w:tr>
      <w:tr w:rsidR="001A32B0" w:rsidRPr="001A32B0" w14:paraId="6B4B8F01" w14:textId="77777777" w:rsidTr="002575B5">
        <w:trPr>
          <w:trHeight w:val="566"/>
        </w:trPr>
        <w:tc>
          <w:tcPr>
            <w:tcW w:w="959" w:type="dxa"/>
            <w:shd w:val="clear" w:color="auto" w:fill="auto"/>
            <w:vAlign w:val="center"/>
          </w:tcPr>
          <w:p w14:paraId="18055477" w14:textId="77777777" w:rsidR="001A32B0" w:rsidRPr="001A32B0" w:rsidRDefault="001A32B0" w:rsidP="001A32B0">
            <w:pPr>
              <w:jc w:val="center"/>
            </w:pPr>
            <w:r w:rsidRPr="001A32B0">
              <w:t>6.</w:t>
            </w:r>
          </w:p>
        </w:tc>
        <w:tc>
          <w:tcPr>
            <w:tcW w:w="5361" w:type="dxa"/>
            <w:shd w:val="clear" w:color="auto" w:fill="auto"/>
            <w:vAlign w:val="center"/>
          </w:tcPr>
          <w:p w14:paraId="1F861CE5" w14:textId="77777777" w:rsidR="001A32B0" w:rsidRPr="001A32B0" w:rsidRDefault="001A32B0" w:rsidP="001A32B0">
            <w:pPr>
              <w:pStyle w:val="1"/>
              <w:shd w:val="clear" w:color="auto" w:fill="FFFFFF"/>
              <w:spacing w:before="0" w:after="0"/>
              <w:rPr>
                <w:rFonts w:ascii="Times New Roman" w:hAnsi="Times New Roman" w:cs="Times New Roman"/>
                <w:b w:val="0"/>
                <w:color w:val="202020"/>
                <w:sz w:val="24"/>
                <w:szCs w:val="24"/>
              </w:rPr>
            </w:pPr>
            <w:r w:rsidRPr="001A32B0">
              <w:rPr>
                <w:rFonts w:ascii="Times New Roman" w:hAnsi="Times New Roman" w:cs="Times New Roman"/>
                <w:b w:val="0"/>
                <w:color w:val="202020"/>
                <w:sz w:val="24"/>
                <w:szCs w:val="24"/>
              </w:rPr>
              <w:t xml:space="preserve">Брелок </w:t>
            </w:r>
            <w:proofErr w:type="spellStart"/>
            <w:r w:rsidRPr="001A32B0">
              <w:rPr>
                <w:rFonts w:ascii="Times New Roman" w:hAnsi="Times New Roman" w:cs="Times New Roman"/>
                <w:b w:val="0"/>
                <w:color w:val="202020"/>
                <w:sz w:val="24"/>
                <w:szCs w:val="24"/>
              </w:rPr>
              <w:t>SpaceControl</w:t>
            </w:r>
            <w:proofErr w:type="spellEnd"/>
          </w:p>
        </w:tc>
        <w:tc>
          <w:tcPr>
            <w:tcW w:w="1726" w:type="dxa"/>
            <w:shd w:val="clear" w:color="auto" w:fill="auto"/>
            <w:vAlign w:val="center"/>
          </w:tcPr>
          <w:p w14:paraId="770F317D" w14:textId="77777777" w:rsidR="001A32B0" w:rsidRPr="001A32B0" w:rsidRDefault="001A32B0" w:rsidP="001A32B0">
            <w:pPr>
              <w:jc w:val="center"/>
            </w:pPr>
            <w:r w:rsidRPr="001A32B0">
              <w:t>шт.</w:t>
            </w:r>
          </w:p>
        </w:tc>
        <w:tc>
          <w:tcPr>
            <w:tcW w:w="1701" w:type="dxa"/>
            <w:shd w:val="clear" w:color="auto" w:fill="auto"/>
            <w:vAlign w:val="center"/>
          </w:tcPr>
          <w:p w14:paraId="1CEA805F" w14:textId="77777777" w:rsidR="001A32B0" w:rsidRPr="001A32B0" w:rsidRDefault="001A32B0" w:rsidP="001A32B0">
            <w:pPr>
              <w:jc w:val="center"/>
            </w:pPr>
            <w:r w:rsidRPr="001A32B0">
              <w:t>3</w:t>
            </w:r>
          </w:p>
        </w:tc>
      </w:tr>
      <w:tr w:rsidR="001A32B0" w:rsidRPr="001A32B0" w14:paraId="08C6A17F" w14:textId="77777777" w:rsidTr="002575B5">
        <w:trPr>
          <w:trHeight w:val="475"/>
        </w:trPr>
        <w:tc>
          <w:tcPr>
            <w:tcW w:w="959" w:type="dxa"/>
            <w:shd w:val="clear" w:color="auto" w:fill="auto"/>
            <w:vAlign w:val="center"/>
          </w:tcPr>
          <w:p w14:paraId="4CBA190A" w14:textId="77777777" w:rsidR="001A32B0" w:rsidRPr="001A32B0" w:rsidRDefault="001A32B0" w:rsidP="001A32B0">
            <w:pPr>
              <w:jc w:val="center"/>
            </w:pPr>
            <w:r w:rsidRPr="001A32B0">
              <w:t>7.</w:t>
            </w:r>
          </w:p>
        </w:tc>
        <w:tc>
          <w:tcPr>
            <w:tcW w:w="5361" w:type="dxa"/>
            <w:shd w:val="clear" w:color="auto" w:fill="auto"/>
            <w:vAlign w:val="center"/>
          </w:tcPr>
          <w:p w14:paraId="1A5F8241" w14:textId="77777777" w:rsidR="001A32B0" w:rsidRPr="001A32B0" w:rsidRDefault="001A32B0" w:rsidP="001A32B0">
            <w:pPr>
              <w:pStyle w:val="1"/>
              <w:shd w:val="clear" w:color="auto" w:fill="FFFFFF"/>
              <w:spacing w:before="0" w:after="0"/>
              <w:rPr>
                <w:rFonts w:ascii="Times New Roman" w:hAnsi="Times New Roman" w:cs="Times New Roman"/>
                <w:b w:val="0"/>
                <w:color w:val="202020"/>
                <w:sz w:val="24"/>
                <w:szCs w:val="24"/>
              </w:rPr>
            </w:pPr>
            <w:r w:rsidRPr="001A32B0">
              <w:rPr>
                <w:rFonts w:ascii="Times New Roman" w:hAnsi="Times New Roman" w:cs="Times New Roman"/>
                <w:b w:val="0"/>
                <w:color w:val="202020"/>
                <w:sz w:val="24"/>
                <w:szCs w:val="24"/>
              </w:rPr>
              <w:t>Монтажні послуги</w:t>
            </w:r>
          </w:p>
        </w:tc>
        <w:tc>
          <w:tcPr>
            <w:tcW w:w="1726" w:type="dxa"/>
            <w:shd w:val="clear" w:color="auto" w:fill="auto"/>
            <w:vAlign w:val="center"/>
          </w:tcPr>
          <w:p w14:paraId="5D14C77C" w14:textId="77777777" w:rsidR="001A32B0" w:rsidRPr="001A32B0" w:rsidRDefault="001A32B0" w:rsidP="001A32B0">
            <w:pPr>
              <w:jc w:val="center"/>
            </w:pPr>
            <w:proofErr w:type="spellStart"/>
            <w:r w:rsidRPr="001A32B0">
              <w:t>посл</w:t>
            </w:r>
            <w:proofErr w:type="spellEnd"/>
            <w:r w:rsidRPr="001A32B0">
              <w:t>.</w:t>
            </w:r>
          </w:p>
        </w:tc>
        <w:tc>
          <w:tcPr>
            <w:tcW w:w="1701" w:type="dxa"/>
            <w:shd w:val="clear" w:color="auto" w:fill="auto"/>
            <w:vAlign w:val="center"/>
          </w:tcPr>
          <w:p w14:paraId="0135D204" w14:textId="77777777" w:rsidR="001A32B0" w:rsidRPr="001A32B0" w:rsidRDefault="001A32B0" w:rsidP="001A32B0">
            <w:pPr>
              <w:jc w:val="center"/>
            </w:pPr>
            <w:r w:rsidRPr="001A32B0">
              <w:t>1</w:t>
            </w:r>
          </w:p>
        </w:tc>
      </w:tr>
    </w:tbl>
    <w:p w14:paraId="472E47E6" w14:textId="77777777" w:rsidR="001A32B0" w:rsidRPr="001A32B0" w:rsidRDefault="001A32B0" w:rsidP="001A32B0">
      <w:pPr>
        <w:widowControl w:val="0"/>
        <w:tabs>
          <w:tab w:val="left" w:pos="851"/>
          <w:tab w:val="left" w:pos="993"/>
          <w:tab w:val="left" w:pos="1134"/>
        </w:tabs>
        <w:overflowPunct w:val="0"/>
        <w:autoSpaceDE w:val="0"/>
        <w:autoSpaceDN w:val="0"/>
        <w:adjustRightInd w:val="0"/>
        <w:ind w:left="-284" w:firstLine="426"/>
        <w:jc w:val="both"/>
        <w:textAlignment w:val="baseline"/>
        <w:rPr>
          <w:color w:val="000000"/>
        </w:rPr>
      </w:pPr>
    </w:p>
    <w:p w14:paraId="558921D3" w14:textId="77777777" w:rsidR="001A32B0" w:rsidRPr="001A32B0" w:rsidRDefault="001A32B0" w:rsidP="001A32B0">
      <w:pPr>
        <w:ind w:firstLine="567"/>
        <w:jc w:val="both"/>
        <w:rPr>
          <w:color w:val="000000"/>
        </w:rPr>
      </w:pPr>
      <w:r w:rsidRPr="001A32B0">
        <w:rPr>
          <w:color w:val="000000"/>
        </w:rPr>
        <w:t xml:space="preserve">1. </w:t>
      </w:r>
      <w:r w:rsidRPr="001A32B0">
        <w:t>Учасник визначає ціни з урахуванням всіх видів обладнання, матеріалів  та обсягу послуг, що повинні бути надані. Ціна пропозиції повинна включати всі витрати Учасника, зокрема сплату податків і зборів, що сплачуються або мають бути сплачені, вартість матеріалів та інші витрати. Вартість усіх матеріальних ресурсів визначається учасником за цінами, які не перевищують орієнтовний рівень цін на внутрішньому ринку України з урахуванням їх якісних характеристик, строків та об’ємів постачання.</w:t>
      </w:r>
      <w:r w:rsidRPr="001A32B0">
        <w:rPr>
          <w:color w:val="000000"/>
        </w:rPr>
        <w:t xml:space="preserve"> У разі, якщо Виконавець не є платником ПДВ, ціна пропозиції зазначається без ПДВ. </w:t>
      </w:r>
    </w:p>
    <w:p w14:paraId="08E386F4" w14:textId="77777777" w:rsidR="001A32B0" w:rsidRPr="001A32B0" w:rsidRDefault="001A32B0" w:rsidP="001A32B0">
      <w:pPr>
        <w:ind w:firstLine="567"/>
        <w:jc w:val="both"/>
      </w:pPr>
      <w:r w:rsidRPr="001A32B0">
        <w:rPr>
          <w:color w:val="000000"/>
        </w:rPr>
        <w:t>2.</w:t>
      </w:r>
      <w:r w:rsidRPr="001A32B0">
        <w:t xml:space="preserve"> Для підтвердження відповідності цінової пропозиції технічним, якісним та іншим вимогам Замовника та для підписання договору за результатами торгів, у випадку визначення Учасника переможцем, Учасник у складі тендерної документації повинен надати: </w:t>
      </w:r>
    </w:p>
    <w:p w14:paraId="1BBCF651" w14:textId="77777777" w:rsidR="001A32B0" w:rsidRPr="001A32B0" w:rsidRDefault="001A32B0" w:rsidP="001A32B0">
      <w:pPr>
        <w:jc w:val="both"/>
      </w:pPr>
      <w:r w:rsidRPr="001A32B0">
        <w:t xml:space="preserve"> - Специфікацію послуг та матеріальних ресурсів, за якими будуть </w:t>
      </w:r>
      <w:proofErr w:type="spellStart"/>
      <w:r w:rsidRPr="001A32B0">
        <w:t>з</w:t>
      </w:r>
      <w:r w:rsidRPr="001A32B0">
        <w:rPr>
          <w:bCs/>
        </w:rPr>
        <w:t>дійснюватись</w:t>
      </w:r>
      <w:proofErr w:type="spellEnd"/>
      <w:r w:rsidRPr="001A32B0">
        <w:rPr>
          <w:bCs/>
        </w:rPr>
        <w:t xml:space="preserve"> послуги</w:t>
      </w:r>
      <w:r w:rsidRPr="001A32B0">
        <w:rPr>
          <w:color w:val="000000"/>
        </w:rPr>
        <w:t xml:space="preserve"> </w:t>
      </w:r>
      <w:r w:rsidRPr="001A32B0">
        <w:t>з поточного ремонту та технічного обслуговування системи сигналізації .</w:t>
      </w:r>
    </w:p>
    <w:p w14:paraId="3B423354" w14:textId="77777777" w:rsidR="001A32B0" w:rsidRPr="001A32B0" w:rsidRDefault="001A32B0" w:rsidP="001A32B0">
      <w:pPr>
        <w:ind w:firstLine="567"/>
        <w:jc w:val="both"/>
      </w:pPr>
      <w:r w:rsidRPr="001A32B0">
        <w:rPr>
          <w:bCs/>
          <w:color w:val="000000"/>
        </w:rPr>
        <w:t xml:space="preserve">3. Місце надання </w:t>
      </w:r>
      <w:r w:rsidRPr="001A32B0">
        <w:t xml:space="preserve">послуг: приміщення, що визначено «складом митниці», а саме: складі </w:t>
      </w:r>
      <w:proofErr w:type="spellStart"/>
      <w:r w:rsidRPr="001A32B0">
        <w:t>конфіскатів</w:t>
      </w:r>
      <w:proofErr w:type="spellEnd"/>
      <w:r w:rsidRPr="001A32B0">
        <w:t xml:space="preserve"> модульного типу площею 252,3 </w:t>
      </w:r>
      <w:proofErr w:type="spellStart"/>
      <w:r w:rsidRPr="001A32B0">
        <w:t>м.кв</w:t>
      </w:r>
      <w:proofErr w:type="spellEnd"/>
      <w:r w:rsidRPr="001A32B0">
        <w:t>, в будівлі ЗМ-1-01 (інвентарний номер 10310785 (комплекс,</w:t>
      </w:r>
      <w:r w:rsidRPr="001A32B0">
        <w:rPr>
          <w:lang w:val="ru-RU"/>
        </w:rPr>
        <w:t xml:space="preserve"> </w:t>
      </w:r>
      <w:r w:rsidRPr="001A32B0">
        <w:t xml:space="preserve">будівлі виробничо-господарського призначення, склад, А)) за адресою: м. Чоп, вул. </w:t>
      </w:r>
      <w:proofErr w:type="spellStart"/>
      <w:r w:rsidRPr="001A32B0">
        <w:t>Латорицька</w:t>
      </w:r>
      <w:proofErr w:type="spellEnd"/>
      <w:r w:rsidRPr="001A32B0">
        <w:t>, 12.</w:t>
      </w:r>
    </w:p>
    <w:p w14:paraId="75B7F64D" w14:textId="77777777" w:rsidR="001A32B0" w:rsidRPr="001A32B0" w:rsidRDefault="001A32B0" w:rsidP="001A32B0">
      <w:pPr>
        <w:ind w:firstLine="567"/>
        <w:jc w:val="both"/>
        <w:rPr>
          <w:bCs/>
          <w:color w:val="000000"/>
        </w:rPr>
      </w:pPr>
      <w:r w:rsidRPr="001A32B0">
        <w:t>4</w:t>
      </w:r>
      <w:r w:rsidRPr="001A32B0">
        <w:rPr>
          <w:bCs/>
          <w:color w:val="000000"/>
        </w:rPr>
        <w:t>. Технологія, якість наданих послуг, якість застосовуваних матеріалів повинні відповідати вимогам діючих державних будівельних стандартів, протипожежних та санітарних норм.</w:t>
      </w:r>
    </w:p>
    <w:p w14:paraId="2D70F18B" w14:textId="77777777" w:rsidR="001A32B0" w:rsidRPr="001A32B0" w:rsidRDefault="001A32B0" w:rsidP="001A32B0">
      <w:pPr>
        <w:ind w:firstLine="567"/>
        <w:jc w:val="both"/>
        <w:rPr>
          <w:color w:val="000000"/>
        </w:rPr>
      </w:pPr>
      <w:r w:rsidRPr="001A32B0">
        <w:rPr>
          <w:bCs/>
          <w:color w:val="000000"/>
        </w:rPr>
        <w:t>5. Вимоги до проведення технічного обслуговування:</w:t>
      </w:r>
    </w:p>
    <w:p w14:paraId="60EF27DA" w14:textId="77777777" w:rsidR="001A32B0" w:rsidRPr="001A32B0" w:rsidRDefault="001A32B0" w:rsidP="001A32B0">
      <w:pPr>
        <w:ind w:firstLine="567"/>
        <w:jc w:val="both"/>
      </w:pPr>
      <w:r w:rsidRPr="001A32B0">
        <w:t xml:space="preserve">Технічне обслуговування системи сигналізації з датчиками в складському приміщенні, яке знаходиться на балансі Замовника, передбачає технічне обслуговування та налаштування (заміну) обладнання, що вийшло з ладу. </w:t>
      </w:r>
    </w:p>
    <w:p w14:paraId="51D8C58A" w14:textId="77777777" w:rsidR="001A32B0" w:rsidRPr="001A32B0" w:rsidRDefault="001A32B0" w:rsidP="001A32B0">
      <w:pPr>
        <w:ind w:firstLine="567"/>
        <w:jc w:val="both"/>
      </w:pPr>
      <w:r w:rsidRPr="001A32B0">
        <w:t xml:space="preserve">Виконавець проводить технічне обслуговування системи сигналізації з датчиками в складському приміщенні на території Замовника. </w:t>
      </w:r>
    </w:p>
    <w:p w14:paraId="041F15D4" w14:textId="77777777" w:rsidR="001A32B0" w:rsidRPr="001A32B0" w:rsidRDefault="001A32B0" w:rsidP="001A32B0">
      <w:pPr>
        <w:ind w:firstLine="567"/>
        <w:jc w:val="both"/>
      </w:pPr>
      <w:r w:rsidRPr="001A32B0">
        <w:t>Зовнішній огляд ˗ визначення технічного стану датчиків, сповіщувачів (працездатний – непрацездатний) за зовнішніми ознаками і, за необхідності, із застосуванням засобів контролю.</w:t>
      </w:r>
    </w:p>
    <w:p w14:paraId="37951F90" w14:textId="77777777" w:rsidR="001A32B0" w:rsidRPr="001A32B0" w:rsidRDefault="001A32B0" w:rsidP="001A32B0">
      <w:pPr>
        <w:widowControl w:val="0"/>
        <w:tabs>
          <w:tab w:val="left" w:pos="-284"/>
        </w:tabs>
        <w:overflowPunct w:val="0"/>
        <w:autoSpaceDE w:val="0"/>
        <w:autoSpaceDN w:val="0"/>
        <w:adjustRightInd w:val="0"/>
        <w:ind w:firstLine="567"/>
        <w:jc w:val="both"/>
        <w:textAlignment w:val="baseline"/>
        <w:rPr>
          <w:color w:val="000000"/>
        </w:rPr>
      </w:pPr>
      <w:r w:rsidRPr="001A32B0">
        <w:rPr>
          <w:color w:val="000000"/>
        </w:rPr>
        <w:t>6. В залежності від потреб Замовника, кількість послуг (к</w:t>
      </w:r>
      <w:r w:rsidRPr="001A32B0">
        <w:rPr>
          <w:bCs/>
          <w:color w:val="000000"/>
          <w:lang w:eastAsia="uk-UA"/>
        </w:rPr>
        <w:t>ількість запчастин, шт.</w:t>
      </w:r>
      <w:r w:rsidRPr="001A32B0">
        <w:rPr>
          <w:color w:val="000000"/>
        </w:rPr>
        <w:t>), може бути змінена в межах вартості договору.</w:t>
      </w:r>
    </w:p>
    <w:p w14:paraId="6EE89DF8" w14:textId="77777777" w:rsidR="001A32B0" w:rsidRPr="001A32B0" w:rsidRDefault="001A32B0" w:rsidP="001A32B0">
      <w:pPr>
        <w:widowControl w:val="0"/>
        <w:tabs>
          <w:tab w:val="left" w:pos="-284"/>
        </w:tabs>
        <w:overflowPunct w:val="0"/>
        <w:autoSpaceDE w:val="0"/>
        <w:autoSpaceDN w:val="0"/>
        <w:adjustRightInd w:val="0"/>
        <w:ind w:firstLine="567"/>
        <w:jc w:val="both"/>
        <w:textAlignment w:val="baseline"/>
        <w:rPr>
          <w:color w:val="000000"/>
        </w:rPr>
      </w:pPr>
      <w:r w:rsidRPr="001A32B0">
        <w:rPr>
          <w:color w:val="000000"/>
        </w:rPr>
        <w:t>7. Виконавець повинен забезпечити:</w:t>
      </w:r>
    </w:p>
    <w:p w14:paraId="6D0117F2" w14:textId="77777777" w:rsidR="001A32B0" w:rsidRPr="001A32B0" w:rsidRDefault="001A32B0" w:rsidP="001A32B0">
      <w:pPr>
        <w:ind w:firstLine="567"/>
        <w:jc w:val="both"/>
      </w:pPr>
      <w:r w:rsidRPr="001A32B0">
        <w:rPr>
          <w:color w:val="000000"/>
        </w:rPr>
        <w:t xml:space="preserve">-  надання послуг - </w:t>
      </w:r>
      <w:r w:rsidRPr="001A32B0">
        <w:t>30 календарних днів з дати укладення договору;</w:t>
      </w:r>
    </w:p>
    <w:p w14:paraId="5E008BA2" w14:textId="77777777" w:rsidR="001A32B0" w:rsidRPr="001A32B0" w:rsidRDefault="001A32B0" w:rsidP="001A32B0">
      <w:pPr>
        <w:ind w:firstLine="567"/>
        <w:jc w:val="both"/>
        <w:rPr>
          <w:color w:val="000000"/>
        </w:rPr>
      </w:pPr>
      <w:r w:rsidRPr="001A32B0">
        <w:t>-</w:t>
      </w:r>
      <w:r w:rsidRPr="001A32B0">
        <w:rPr>
          <w:color w:val="000000"/>
        </w:rPr>
        <w:t xml:space="preserve">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w:t>
      </w:r>
    </w:p>
    <w:p w14:paraId="55F9B545" w14:textId="77777777" w:rsidR="001A32B0" w:rsidRPr="001A32B0" w:rsidRDefault="001A32B0" w:rsidP="001A32B0">
      <w:pPr>
        <w:ind w:firstLine="567"/>
        <w:jc w:val="both"/>
      </w:pPr>
      <w:r w:rsidRPr="001A32B0">
        <w:t>8. Гарантійний термін на надані послуги становить 2 роки.</w:t>
      </w:r>
    </w:p>
    <w:p w14:paraId="22978EEB" w14:textId="77777777" w:rsidR="002E22B7" w:rsidRPr="001A32B0" w:rsidRDefault="002E22B7" w:rsidP="001A32B0">
      <w:pPr>
        <w:pStyle w:val="af"/>
        <w:ind w:left="1419"/>
        <w:jc w:val="both"/>
        <w:rPr>
          <w:rFonts w:ascii="Times New Roman" w:hAnsi="Times New Roman" w:cs="Times New Roman"/>
          <w:lang w:eastAsia="uk-UA"/>
        </w:rPr>
      </w:pPr>
    </w:p>
    <w:p w14:paraId="599F2B14" w14:textId="4AFEBC5B" w:rsidR="0044255F" w:rsidRPr="001A32B0" w:rsidRDefault="00A0247F" w:rsidP="001A32B0">
      <w:pPr>
        <w:tabs>
          <w:tab w:val="left" w:pos="180"/>
        </w:tabs>
        <w:ind w:firstLine="426"/>
        <w:jc w:val="both"/>
        <w:rPr>
          <w:b/>
        </w:rPr>
      </w:pPr>
      <w:r w:rsidRPr="001A32B0">
        <w:rPr>
          <w:b/>
        </w:rPr>
        <w:t>5. Обґрунтування розміру бюджетного призначення:</w:t>
      </w:r>
      <w:r w:rsidRPr="001A32B0">
        <w:t xml:space="preserve"> розмір бюджетного призначення </w:t>
      </w:r>
      <w:r w:rsidR="0044255F" w:rsidRPr="001A32B0">
        <w:t>для предмет</w:t>
      </w:r>
      <w:r w:rsidR="00270EDE" w:rsidRPr="001A32B0">
        <w:t>у</w:t>
      </w:r>
      <w:r w:rsidR="0044255F" w:rsidRPr="001A32B0">
        <w:t xml:space="preserve"> закупів</w:t>
      </w:r>
      <w:r w:rsidR="007C2BD8" w:rsidRPr="001A32B0">
        <w:t>л</w:t>
      </w:r>
      <w:r w:rsidR="00270EDE" w:rsidRPr="001A32B0">
        <w:t>і</w:t>
      </w:r>
      <w:r w:rsidR="0044255F" w:rsidRPr="001A32B0">
        <w:t xml:space="preserve"> відповідає розрахунку видатків до кошторису </w:t>
      </w:r>
      <w:r w:rsidR="00290903" w:rsidRPr="001A32B0">
        <w:t>Вінницької</w:t>
      </w:r>
      <w:r w:rsidR="00270EDE" w:rsidRPr="001A32B0">
        <w:t xml:space="preserve"> митниці </w:t>
      </w:r>
      <w:r w:rsidR="0044255F" w:rsidRPr="001A32B0">
        <w:t>на 202</w:t>
      </w:r>
      <w:r w:rsidR="001A32B0" w:rsidRPr="001A32B0">
        <w:t>5</w:t>
      </w:r>
      <w:r w:rsidR="0044255F" w:rsidRPr="001A32B0">
        <w:t xml:space="preserve"> рік </w:t>
      </w:r>
      <w:r w:rsidR="00EF4CD6" w:rsidRPr="001A32B0">
        <w:t xml:space="preserve">(зі змінами) по </w:t>
      </w:r>
      <w:r w:rsidR="0044255F" w:rsidRPr="001A32B0">
        <w:t>загальн</w:t>
      </w:r>
      <w:r w:rsidR="00EF4CD6" w:rsidRPr="001A32B0">
        <w:t>ому</w:t>
      </w:r>
      <w:r w:rsidR="0044255F" w:rsidRPr="001A32B0">
        <w:t xml:space="preserve"> фонд</w:t>
      </w:r>
      <w:r w:rsidR="00EF4CD6" w:rsidRPr="001A32B0">
        <w:t>у</w:t>
      </w:r>
      <w:r w:rsidR="0044255F" w:rsidRPr="001A32B0">
        <w:t xml:space="preserve"> за КПКВК 3506010 </w:t>
      </w:r>
      <w:r w:rsidR="0044255F" w:rsidRPr="001A32B0">
        <w:lastRenderedPageBreak/>
        <w:t>«Керівництво та управління у сфері митної політики»</w:t>
      </w:r>
      <w:r w:rsidR="00853255" w:rsidRPr="001A32B0">
        <w:t xml:space="preserve"> з урахуванням середньої ринкової вартості аналогічних </w:t>
      </w:r>
      <w:r w:rsidR="00726764" w:rsidRPr="001A32B0">
        <w:t>п</w:t>
      </w:r>
      <w:r w:rsidR="00853255" w:rsidRPr="001A32B0">
        <w:t>о</w:t>
      </w:r>
      <w:r w:rsidR="00726764" w:rsidRPr="001A32B0">
        <w:t>слуг</w:t>
      </w:r>
      <w:r w:rsidR="0044255F" w:rsidRPr="001A32B0">
        <w:t>.</w:t>
      </w:r>
    </w:p>
    <w:p w14:paraId="4A447243" w14:textId="77777777" w:rsidR="0044255F" w:rsidRPr="001A32B0" w:rsidRDefault="0044255F" w:rsidP="001A32B0">
      <w:pPr>
        <w:ind w:firstLine="567"/>
        <w:contextualSpacing/>
        <w:jc w:val="both"/>
      </w:pPr>
    </w:p>
    <w:p w14:paraId="3EE03F91" w14:textId="41736F05" w:rsidR="007F146A" w:rsidRPr="001A32B0" w:rsidRDefault="00A0247F" w:rsidP="001A32B0">
      <w:pPr>
        <w:ind w:firstLine="426"/>
        <w:contextualSpacing/>
        <w:jc w:val="both"/>
      </w:pPr>
      <w:r w:rsidRPr="001A32B0">
        <w:rPr>
          <w:b/>
        </w:rPr>
        <w:t>6. Очікувана вартість предмета закупівлі:</w:t>
      </w:r>
      <w:r w:rsidR="00500435" w:rsidRPr="001A32B0">
        <w:rPr>
          <w:b/>
        </w:rPr>
        <w:t xml:space="preserve"> </w:t>
      </w:r>
      <w:r w:rsidR="001A32B0" w:rsidRPr="001A32B0">
        <w:rPr>
          <w:b/>
          <w:color w:val="2C2931"/>
          <w:shd w:val="clear" w:color="auto" w:fill="FFFFFF"/>
        </w:rPr>
        <w:t>37 099.60</w:t>
      </w:r>
      <w:r w:rsidR="00DC5925" w:rsidRPr="001A32B0">
        <w:rPr>
          <w:b/>
        </w:rPr>
        <w:t xml:space="preserve"> </w:t>
      </w:r>
      <w:r w:rsidR="00EF4CD6" w:rsidRPr="001A32B0">
        <w:rPr>
          <w:b/>
        </w:rPr>
        <w:t>грн. з ПДВ</w:t>
      </w:r>
      <w:r w:rsidR="007B3889" w:rsidRPr="001A32B0">
        <w:rPr>
          <w:b/>
        </w:rPr>
        <w:t>.</w:t>
      </w:r>
    </w:p>
    <w:p w14:paraId="3BF3859A" w14:textId="1B8B6332" w:rsidR="00057AFB" w:rsidRPr="001A32B0" w:rsidRDefault="00500435" w:rsidP="001A32B0">
      <w:pPr>
        <w:ind w:firstLine="567"/>
        <w:contextualSpacing/>
        <w:jc w:val="both"/>
      </w:pPr>
      <w:r w:rsidRPr="001A32B0">
        <w:t xml:space="preserve"> </w:t>
      </w:r>
    </w:p>
    <w:p w14:paraId="08593C51" w14:textId="77777777" w:rsidR="00964E6F" w:rsidRPr="001A32B0" w:rsidRDefault="00A0247F" w:rsidP="001A32B0">
      <w:pPr>
        <w:ind w:firstLine="426"/>
        <w:contextualSpacing/>
        <w:jc w:val="both"/>
      </w:pPr>
      <w:r w:rsidRPr="001A32B0">
        <w:rPr>
          <w:b/>
        </w:rPr>
        <w:t>7. Обґрунтування очікуваної вартості предмета закупівлі:</w:t>
      </w:r>
      <w:r w:rsidRPr="001A32B0">
        <w:t xml:space="preserve"> </w:t>
      </w:r>
    </w:p>
    <w:p w14:paraId="626B9AF5" w14:textId="1AF03AB4" w:rsidR="00006754" w:rsidRPr="001A32B0" w:rsidRDefault="00853255" w:rsidP="001A32B0">
      <w:pPr>
        <w:ind w:firstLine="567"/>
        <w:contextualSpacing/>
        <w:jc w:val="both"/>
      </w:pPr>
      <w:r w:rsidRPr="001A32B0">
        <w:t>Н</w:t>
      </w:r>
      <w:r w:rsidR="00006754" w:rsidRPr="001A32B0">
        <w:t>аказом Міністерства розвитку економіки, торгівлі та сільського господарства України від 18.02.2020 №</w:t>
      </w:r>
      <w:r w:rsidRPr="001A32B0">
        <w:t xml:space="preserve"> </w:t>
      </w:r>
      <w:r w:rsidR="00006754" w:rsidRPr="001A32B0">
        <w:t>275 затверджена примірна методика визначення очікуваної вартості предмет</w:t>
      </w:r>
      <w:r w:rsidR="009E158C" w:rsidRPr="001A32B0">
        <w:t>а</w:t>
      </w:r>
      <w:r w:rsidR="00006754" w:rsidRPr="001A32B0">
        <w:t xml:space="preserve"> закупівлі, якою передбачені методи визначення очікуваної вартості предмет</w:t>
      </w:r>
      <w:r w:rsidR="009E158C" w:rsidRPr="001A32B0">
        <w:t>а</w:t>
      </w:r>
      <w:r w:rsidR="00006754" w:rsidRPr="001A32B0">
        <w:t xml:space="preserve"> закупівлі.</w:t>
      </w:r>
    </w:p>
    <w:p w14:paraId="5524974C" w14:textId="34EDC06B" w:rsidR="00006754" w:rsidRPr="001A32B0" w:rsidRDefault="00006754" w:rsidP="001A32B0">
      <w:pPr>
        <w:ind w:firstLine="426"/>
        <w:contextualSpacing/>
        <w:jc w:val="both"/>
      </w:pPr>
      <w:r w:rsidRPr="001A32B0">
        <w:t>Так, очікувана вартість предмет</w:t>
      </w:r>
      <w:r w:rsidR="009E158C" w:rsidRPr="001A32B0">
        <w:t>а</w:t>
      </w:r>
      <w:r w:rsidRPr="001A32B0">
        <w:t xml:space="preserve"> закупівлі визначена на підставі аналізу загальнодоступної інформації про ціну </w:t>
      </w:r>
      <w:r w:rsidR="00F41163" w:rsidRPr="001A32B0">
        <w:t>т</w:t>
      </w:r>
      <w:r w:rsidRPr="001A32B0">
        <w:t>о</w:t>
      </w:r>
      <w:r w:rsidR="00F41163" w:rsidRPr="001A32B0">
        <w:t>вар</w:t>
      </w:r>
      <w:r w:rsidRPr="001A32B0">
        <w:t>у (тобто інформація про ціни, що міст</w:t>
      </w:r>
      <w:r w:rsidR="00064CCA" w:rsidRPr="001A32B0">
        <w:t>я</w:t>
      </w:r>
      <w:r w:rsidRPr="001A32B0">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A32B0">
        <w:t>Pr</w:t>
      </w:r>
      <w:r w:rsidRPr="001A32B0">
        <w:t>о</w:t>
      </w:r>
      <w:r w:rsidR="00F70454" w:rsidRPr="001A32B0">
        <w:t>z</w:t>
      </w:r>
      <w:r w:rsidRPr="001A32B0">
        <w:t>о</w:t>
      </w:r>
      <w:r w:rsidR="00F70454" w:rsidRPr="001A32B0">
        <w:t>rr</w:t>
      </w:r>
      <w:r w:rsidRPr="001A32B0">
        <w:t>о</w:t>
      </w:r>
      <w:proofErr w:type="spellEnd"/>
      <w:r w:rsidRPr="001A32B0">
        <w:t>» тощо.</w:t>
      </w:r>
      <w:r w:rsidR="00057AFB" w:rsidRPr="001A32B0">
        <w:t xml:space="preserve"> </w:t>
      </w:r>
      <w:r w:rsidRPr="001A32B0">
        <w:t>Відповідно до вказаної методики, очікувана вартість предмет</w:t>
      </w:r>
      <w:r w:rsidR="009E158C" w:rsidRPr="001A32B0">
        <w:t>а</w:t>
      </w:r>
      <w:r w:rsidRPr="001A32B0">
        <w:t xml:space="preserve"> закупівлі становить </w:t>
      </w:r>
      <w:r w:rsidR="001A32B0" w:rsidRPr="001A32B0">
        <w:rPr>
          <w:b/>
          <w:color w:val="2C2931"/>
          <w:shd w:val="clear" w:color="auto" w:fill="FFFFFF"/>
        </w:rPr>
        <w:t>37 099.60</w:t>
      </w:r>
      <w:r w:rsidR="00F5430D" w:rsidRPr="001A32B0">
        <w:rPr>
          <w:b/>
        </w:rPr>
        <w:t xml:space="preserve"> </w:t>
      </w:r>
      <w:r w:rsidR="005901C0" w:rsidRPr="001A32B0">
        <w:rPr>
          <w:b/>
        </w:rPr>
        <w:t>грн</w:t>
      </w:r>
      <w:r w:rsidR="0067200A" w:rsidRPr="001A32B0">
        <w:rPr>
          <w:b/>
        </w:rPr>
        <w:t xml:space="preserve"> з ПДВ</w:t>
      </w:r>
      <w:r w:rsidRPr="001A32B0">
        <w:t>, що відповідає розміру бюджетного призначення.</w:t>
      </w:r>
    </w:p>
    <w:p w14:paraId="54C5FDFB" w14:textId="77777777" w:rsidR="00F5430D" w:rsidRPr="001A32B0" w:rsidRDefault="00F5430D" w:rsidP="001A32B0">
      <w:pPr>
        <w:ind w:firstLine="426"/>
        <w:contextualSpacing/>
        <w:jc w:val="both"/>
        <w:rPr>
          <w:b/>
          <w:lang w:val="ru-RU"/>
        </w:rPr>
      </w:pPr>
    </w:p>
    <w:p w14:paraId="77CD26D5" w14:textId="77777777" w:rsidR="00BC7695" w:rsidRPr="001A32B0" w:rsidRDefault="00BF492B" w:rsidP="001A32B0">
      <w:pPr>
        <w:ind w:firstLine="426"/>
        <w:contextualSpacing/>
        <w:jc w:val="both"/>
      </w:pPr>
      <w:r w:rsidRPr="001A32B0">
        <w:rPr>
          <w:b/>
        </w:rPr>
        <w:t>8. Застосування виключення:</w:t>
      </w:r>
      <w:r w:rsidRPr="001A32B0">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019B7" w14:textId="77777777" w:rsidR="00F0448E" w:rsidRDefault="00F0448E">
      <w:r>
        <w:separator/>
      </w:r>
    </w:p>
  </w:endnote>
  <w:endnote w:type="continuationSeparator" w:id="0">
    <w:p w14:paraId="5200634F" w14:textId="77777777" w:rsidR="00F0448E" w:rsidRDefault="00F0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BDF29" w14:textId="77777777" w:rsidR="00F0448E" w:rsidRDefault="00F0448E">
      <w:r>
        <w:separator/>
      </w:r>
    </w:p>
  </w:footnote>
  <w:footnote w:type="continuationSeparator" w:id="0">
    <w:p w14:paraId="046FCBEA" w14:textId="77777777" w:rsidR="00F0448E" w:rsidRDefault="00F04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2B0"/>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448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3991</Words>
  <Characters>2276</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2026-03-23T14:32:00Z</dcterms:modified>
</cp:coreProperties>
</file>