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6E74A4" w:rsidRDefault="006E0648" w:rsidP="00F5430D">
      <w:pPr>
        <w:contextualSpacing/>
        <w:jc w:val="center"/>
        <w:rPr>
          <w:b/>
        </w:rPr>
      </w:pPr>
      <w:r w:rsidRPr="006E74A4">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6E74A4" w:rsidRDefault="006E0648" w:rsidP="00F5430D">
      <w:pPr>
        <w:contextualSpacing/>
        <w:jc w:val="center"/>
        <w:rPr>
          <w:b/>
        </w:rPr>
      </w:pPr>
      <w:r w:rsidRPr="006E74A4">
        <w:rPr>
          <w:b/>
        </w:rPr>
        <w:t xml:space="preserve">(відповідно до пункту </w:t>
      </w:r>
      <w:r w:rsidR="00673C61" w:rsidRPr="006E74A4">
        <w:rPr>
          <w:b/>
        </w:rPr>
        <w:t>4</w:t>
      </w:r>
      <w:r w:rsidR="00673C61" w:rsidRPr="006E74A4">
        <w:rPr>
          <w:b/>
          <w:vertAlign w:val="superscript"/>
        </w:rPr>
        <w:t>1</w:t>
      </w:r>
      <w:r w:rsidRPr="006E74A4">
        <w:rPr>
          <w:b/>
        </w:rPr>
        <w:t xml:space="preserve"> постанови КМУ від 11.10.2016 № 710 </w:t>
      </w:r>
    </w:p>
    <w:p w14:paraId="15EE5A58" w14:textId="77777777" w:rsidR="006E0648" w:rsidRPr="006E74A4" w:rsidRDefault="006E0648" w:rsidP="00F5430D">
      <w:pPr>
        <w:contextualSpacing/>
        <w:jc w:val="center"/>
        <w:rPr>
          <w:b/>
        </w:rPr>
      </w:pPr>
      <w:r w:rsidRPr="006E74A4">
        <w:rPr>
          <w:b/>
        </w:rPr>
        <w:t>«Про ефективне</w:t>
      </w:r>
      <w:r w:rsidR="007919B9" w:rsidRPr="006E74A4">
        <w:rPr>
          <w:b/>
        </w:rPr>
        <w:t xml:space="preserve"> </w:t>
      </w:r>
      <w:r w:rsidRPr="006E74A4">
        <w:rPr>
          <w:b/>
        </w:rPr>
        <w:t>використання державних коштів» (зі змінами))</w:t>
      </w:r>
    </w:p>
    <w:p w14:paraId="3942DFD4" w14:textId="77777777" w:rsidR="00C9359B" w:rsidRPr="006E74A4" w:rsidRDefault="00C9359B" w:rsidP="00F5430D">
      <w:pPr>
        <w:ind w:firstLine="567"/>
        <w:contextualSpacing/>
        <w:jc w:val="both"/>
        <w:rPr>
          <w:b/>
        </w:rPr>
      </w:pPr>
    </w:p>
    <w:p w14:paraId="1074647C" w14:textId="77777777" w:rsidR="002E22B7" w:rsidRPr="006E74A4" w:rsidRDefault="006E0648" w:rsidP="00F5430D">
      <w:pPr>
        <w:ind w:firstLine="567"/>
        <w:contextualSpacing/>
        <w:jc w:val="both"/>
        <w:rPr>
          <w:b/>
        </w:rPr>
      </w:pPr>
      <w:r w:rsidRPr="006E74A4">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6E74A4" w:rsidRDefault="002E22B7" w:rsidP="00F5430D">
      <w:pPr>
        <w:ind w:firstLine="567"/>
        <w:contextualSpacing/>
        <w:jc w:val="both"/>
        <w:rPr>
          <w:b/>
        </w:rPr>
      </w:pPr>
    </w:p>
    <w:p w14:paraId="23F02F84" w14:textId="6642168E" w:rsidR="006E0648" w:rsidRPr="006E74A4" w:rsidRDefault="00F5430D" w:rsidP="00F5430D">
      <w:pPr>
        <w:ind w:firstLine="567"/>
        <w:contextualSpacing/>
        <w:jc w:val="both"/>
      </w:pPr>
      <w:r w:rsidRPr="006E74A4">
        <w:rPr>
          <w:b/>
        </w:rPr>
        <w:t>Закарпатська митниця</w:t>
      </w:r>
      <w:r w:rsidR="00452DA4" w:rsidRPr="006E74A4">
        <w:rPr>
          <w:b/>
        </w:rPr>
        <w:t>;</w:t>
      </w:r>
      <w:r w:rsidR="00452DA4" w:rsidRPr="006E74A4">
        <w:t xml:space="preserve"> </w:t>
      </w:r>
      <w:r w:rsidRPr="006E74A4">
        <w:rPr>
          <w:color w:val="2C2931"/>
          <w:shd w:val="clear" w:color="auto" w:fill="FFFFFF"/>
        </w:rPr>
        <w:t>88000, Закарпатська область, Ужгород, Собранецька, 20</w:t>
      </w:r>
      <w:r w:rsidR="006E0648" w:rsidRPr="006E74A4">
        <w:t xml:space="preserve">; код ЄДРПОУ </w:t>
      </w:r>
      <w:r w:rsidR="006438F8" w:rsidRPr="006E74A4">
        <w:t>ВП:</w:t>
      </w:r>
      <w:r w:rsidRPr="006E74A4">
        <w:t xml:space="preserve"> </w:t>
      </w:r>
      <w:r w:rsidRPr="006E74A4">
        <w:rPr>
          <w:color w:val="2C2931"/>
          <w:shd w:val="clear" w:color="auto" w:fill="FFFFFF"/>
        </w:rPr>
        <w:t>43985560</w:t>
      </w:r>
      <w:r w:rsidR="006E0648" w:rsidRPr="006E74A4">
        <w:t>; категорія замовника – орган державної  влади.</w:t>
      </w:r>
    </w:p>
    <w:p w14:paraId="505BA49B" w14:textId="77777777" w:rsidR="006E0648" w:rsidRPr="006E74A4" w:rsidRDefault="006E0648" w:rsidP="00F5430D">
      <w:pPr>
        <w:ind w:firstLine="567"/>
        <w:contextualSpacing/>
        <w:jc w:val="both"/>
      </w:pPr>
    </w:p>
    <w:p w14:paraId="12896E25" w14:textId="77777777" w:rsidR="002E22B7" w:rsidRPr="006E74A4" w:rsidRDefault="006E0648" w:rsidP="00F5430D">
      <w:pPr>
        <w:ind w:firstLine="567"/>
        <w:contextualSpacing/>
        <w:jc w:val="both"/>
        <w:rPr>
          <w:b/>
        </w:rPr>
      </w:pPr>
      <w:r w:rsidRPr="006E74A4">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6E74A4" w:rsidRDefault="002E22B7" w:rsidP="00F5430D">
      <w:pPr>
        <w:ind w:firstLine="567"/>
        <w:contextualSpacing/>
        <w:jc w:val="both"/>
      </w:pPr>
    </w:p>
    <w:p w14:paraId="5E4459CC" w14:textId="78506254" w:rsidR="007B7D98" w:rsidRPr="006E74A4" w:rsidRDefault="006E74A4"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r w:rsidRPr="006E74A4">
        <w:rPr>
          <w:rFonts w:ascii="Times New Roman" w:hAnsi="Times New Roman" w:cs="Times New Roman"/>
          <w:color w:val="2C2931"/>
          <w:sz w:val="24"/>
          <w:szCs w:val="24"/>
          <w:shd w:val="clear" w:color="auto" w:fill="FFFFFF"/>
        </w:rPr>
        <w:t>П</w:t>
      </w:r>
      <w:r w:rsidRPr="006E74A4">
        <w:rPr>
          <w:rFonts w:ascii="Times New Roman" w:hAnsi="Times New Roman" w:cs="Times New Roman"/>
          <w:color w:val="2C2931"/>
          <w:sz w:val="24"/>
          <w:szCs w:val="24"/>
          <w:shd w:val="clear" w:color="auto" w:fill="FFFFFF"/>
        </w:rPr>
        <w:t>ослуги доступу до мережі Інтернет</w:t>
      </w:r>
      <w:r w:rsidR="00DC0ECE" w:rsidRPr="006E74A4">
        <w:rPr>
          <w:rFonts w:ascii="Times New Roman" w:hAnsi="Times New Roman" w:cs="Times New Roman"/>
          <w:color w:val="2C2931"/>
          <w:sz w:val="24"/>
          <w:szCs w:val="24"/>
          <w:shd w:val="clear" w:color="auto" w:fill="FFFFFF"/>
        </w:rPr>
        <w:t xml:space="preserve"> </w:t>
      </w:r>
      <w:r w:rsidR="00D067E2" w:rsidRPr="006E74A4">
        <w:rPr>
          <w:rFonts w:ascii="Times New Roman" w:eastAsia="Times New Roman" w:hAnsi="Times New Roman" w:cs="Times New Roman"/>
          <w:b w:val="0"/>
          <w:bCs w:val="0"/>
          <w:kern w:val="0"/>
          <w:sz w:val="24"/>
          <w:szCs w:val="24"/>
          <w:lang w:eastAsia="ru-RU"/>
        </w:rPr>
        <w:t xml:space="preserve">за кодом ДК 021:2015: </w:t>
      </w:r>
      <w:r w:rsidRPr="006E74A4">
        <w:rPr>
          <w:rFonts w:ascii="Times New Roman" w:hAnsi="Times New Roman" w:cs="Times New Roman"/>
          <w:sz w:val="24"/>
          <w:szCs w:val="24"/>
          <w:shd w:val="clear" w:color="auto" w:fill="FFFFFF"/>
        </w:rPr>
        <w:t>72410000-7 Послуги провайдерів</w:t>
      </w:r>
      <w:r w:rsidR="00F5430D" w:rsidRPr="006E74A4">
        <w:rPr>
          <w:rFonts w:ascii="Times New Roman" w:hAnsi="Times New Roman" w:cs="Times New Roman"/>
          <w:color w:val="222222"/>
          <w:sz w:val="24"/>
          <w:szCs w:val="24"/>
          <w:shd w:val="clear" w:color="auto" w:fill="FFFFFF"/>
        </w:rPr>
        <w:t>.</w:t>
      </w:r>
    </w:p>
    <w:p w14:paraId="0A605214" w14:textId="77777777" w:rsidR="0063692F" w:rsidRPr="006E74A4" w:rsidRDefault="0063692F" w:rsidP="00F5430D">
      <w:pPr>
        <w:rPr>
          <w:rFonts w:eastAsia="Calibri"/>
          <w:lang w:eastAsia="uk-UA"/>
        </w:rPr>
      </w:pPr>
    </w:p>
    <w:p w14:paraId="101ADDBA" w14:textId="5E930946" w:rsidR="00C908AE" w:rsidRPr="006E74A4" w:rsidRDefault="006E0648" w:rsidP="00F5430D">
      <w:pPr>
        <w:tabs>
          <w:tab w:val="left" w:pos="360"/>
          <w:tab w:val="left" w:pos="567"/>
        </w:tabs>
        <w:ind w:firstLine="567"/>
        <w:contextualSpacing/>
        <w:jc w:val="both"/>
        <w:rPr>
          <w:b/>
        </w:rPr>
      </w:pPr>
      <w:r w:rsidRPr="006E74A4">
        <w:rPr>
          <w:b/>
        </w:rPr>
        <w:t>3. Ідентифікатор закупів</w:t>
      </w:r>
      <w:r w:rsidR="007C2BD8" w:rsidRPr="006E74A4">
        <w:rPr>
          <w:b/>
        </w:rPr>
        <w:t>л</w:t>
      </w:r>
      <w:r w:rsidR="00AF41A4" w:rsidRPr="006E74A4">
        <w:rPr>
          <w:b/>
        </w:rPr>
        <w:t>і</w:t>
      </w:r>
      <w:r w:rsidRPr="006E74A4">
        <w:rPr>
          <w:b/>
        </w:rPr>
        <w:t>: —</w:t>
      </w:r>
      <w:r w:rsidR="000274C4" w:rsidRPr="006E74A4">
        <w:rPr>
          <w:b/>
        </w:rPr>
        <w:t xml:space="preserve"> </w:t>
      </w:r>
      <w:r w:rsidR="006E74A4" w:rsidRPr="006E74A4">
        <w:rPr>
          <w:rFonts w:eastAsia="Batang"/>
          <w:b/>
          <w:shd w:val="clear" w:color="auto" w:fill="FFFFFF"/>
        </w:rPr>
        <w:t>UA-2025-12-16-026427-a</w:t>
      </w:r>
      <w:r w:rsidR="00F5430D" w:rsidRPr="006E74A4">
        <w:rPr>
          <w:rFonts w:eastAsia="Batang"/>
          <w:b/>
          <w:shd w:val="clear" w:color="auto" w:fill="FFFFFF"/>
        </w:rPr>
        <w:t>.</w:t>
      </w:r>
    </w:p>
    <w:p w14:paraId="21F9E478" w14:textId="77777777" w:rsidR="00445D32" w:rsidRPr="006E74A4" w:rsidRDefault="00445D32" w:rsidP="00F5430D">
      <w:pPr>
        <w:tabs>
          <w:tab w:val="left" w:pos="360"/>
          <w:tab w:val="left" w:pos="567"/>
        </w:tabs>
        <w:contextualSpacing/>
        <w:jc w:val="both"/>
        <w:rPr>
          <w:b/>
        </w:rPr>
      </w:pPr>
    </w:p>
    <w:p w14:paraId="71B8F525" w14:textId="77777777" w:rsidR="00006754" w:rsidRPr="006E74A4" w:rsidRDefault="00A0247F" w:rsidP="00F5430D">
      <w:pPr>
        <w:ind w:firstLine="567"/>
        <w:contextualSpacing/>
        <w:jc w:val="both"/>
      </w:pPr>
      <w:r w:rsidRPr="006E74A4">
        <w:rPr>
          <w:b/>
        </w:rPr>
        <w:t>4. Обґрунтування технічних та якісних характеристик предмета закупівлі:</w:t>
      </w:r>
      <w:r w:rsidRPr="006E74A4">
        <w:t xml:space="preserve"> технічні та якісні характеристики предмета закупівлі визначені відповідно до потреб замовника</w:t>
      </w:r>
      <w:r w:rsidR="00006754" w:rsidRPr="006E74A4">
        <w:t>.</w:t>
      </w:r>
    </w:p>
    <w:p w14:paraId="2AF7E7B2" w14:textId="77777777" w:rsidR="00F5430D" w:rsidRPr="006E74A4" w:rsidRDefault="00F5430D" w:rsidP="00F5430D">
      <w:pPr>
        <w:contextualSpacing/>
        <w:jc w:val="center"/>
        <w:rPr>
          <w:b/>
          <w:bCs/>
        </w:rPr>
      </w:pPr>
    </w:p>
    <w:p w14:paraId="38919007" w14:textId="77777777" w:rsidR="006E74A4" w:rsidRPr="006E74A4" w:rsidRDefault="006E74A4" w:rsidP="006E74A4">
      <w:pPr>
        <w:contextualSpacing/>
        <w:jc w:val="center"/>
        <w:rPr>
          <w:b/>
          <w:bCs/>
          <w:i/>
          <w:iCs/>
          <w:sz w:val="20"/>
          <w:szCs w:val="20"/>
        </w:rPr>
      </w:pPr>
      <w:r w:rsidRPr="006E74A4">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6E74A4">
        <w:rPr>
          <w:b/>
          <w:bCs/>
          <w:i/>
          <w:iCs/>
          <w:sz w:val="20"/>
          <w:szCs w:val="20"/>
        </w:rPr>
        <w:t xml:space="preserve"> </w:t>
      </w:r>
    </w:p>
    <w:p w14:paraId="434F30FD" w14:textId="77777777" w:rsidR="006E74A4" w:rsidRPr="006E74A4" w:rsidRDefault="006E74A4" w:rsidP="006E74A4">
      <w:pPr>
        <w:contextualSpacing/>
        <w:jc w:val="center"/>
        <w:rPr>
          <w:b/>
          <w:bCs/>
          <w:i/>
          <w:iCs/>
          <w:sz w:val="20"/>
          <w:szCs w:val="20"/>
        </w:rPr>
      </w:pPr>
    </w:p>
    <w:p w14:paraId="50172896" w14:textId="77777777" w:rsidR="006E74A4" w:rsidRPr="006E74A4" w:rsidRDefault="006E74A4" w:rsidP="006E74A4">
      <w:pPr>
        <w:widowControl w:val="0"/>
        <w:jc w:val="both"/>
      </w:pPr>
      <w:r w:rsidRPr="006E74A4">
        <w:rPr>
          <w:b/>
          <w:color w:val="000000"/>
        </w:rPr>
        <w:t xml:space="preserve">ЗАМОВНИК </w:t>
      </w:r>
      <w:r w:rsidRPr="006E74A4">
        <w:rPr>
          <w:color w:val="000000"/>
        </w:rPr>
        <w:t xml:space="preserve">– </w:t>
      </w:r>
      <w:r w:rsidRPr="006E74A4">
        <w:t>Закарпатська митниця</w:t>
      </w:r>
    </w:p>
    <w:p w14:paraId="237CD1B2" w14:textId="77777777" w:rsidR="006E74A4" w:rsidRPr="006E74A4" w:rsidRDefault="006E74A4" w:rsidP="006E74A4">
      <w:pPr>
        <w:pStyle w:val="1"/>
        <w:shd w:val="clear" w:color="auto" w:fill="FFFFFF"/>
        <w:spacing w:before="0" w:after="0"/>
        <w:jc w:val="both"/>
        <w:rPr>
          <w:rFonts w:ascii="Times New Roman" w:hAnsi="Times New Roman"/>
          <w:sz w:val="24"/>
          <w:szCs w:val="24"/>
        </w:rPr>
      </w:pPr>
      <w:r w:rsidRPr="006E74A4">
        <w:rPr>
          <w:rFonts w:ascii="Times New Roman" w:hAnsi="Times New Roman"/>
          <w:sz w:val="24"/>
          <w:szCs w:val="24"/>
        </w:rPr>
        <w:t xml:space="preserve">ПРЕДМЕТ ЗАКУПІВЛІ - </w:t>
      </w:r>
      <w:r w:rsidRPr="006E74A4">
        <w:rPr>
          <w:rFonts w:ascii="Times New Roman" w:hAnsi="Times New Roman" w:cs="Times New Roman"/>
          <w:b w:val="0"/>
          <w:color w:val="222222"/>
          <w:sz w:val="24"/>
          <w:szCs w:val="28"/>
          <w:shd w:val="clear" w:color="auto" w:fill="FFFFFF"/>
        </w:rPr>
        <w:t xml:space="preserve">Послуги доступу до мережі Інтернет, </w:t>
      </w:r>
      <w:r w:rsidRPr="006E74A4">
        <w:rPr>
          <w:rFonts w:ascii="Times New Roman" w:eastAsia="Times New Roman" w:hAnsi="Times New Roman" w:cs="Times New Roman"/>
          <w:b w:val="0"/>
          <w:bCs w:val="0"/>
          <w:sz w:val="24"/>
          <w:szCs w:val="28"/>
        </w:rPr>
        <w:t xml:space="preserve">Код ДК 021:2015: </w:t>
      </w:r>
      <w:r w:rsidRPr="006E74A4">
        <w:rPr>
          <w:rFonts w:ascii="Times New Roman" w:hAnsi="Times New Roman" w:cs="Times New Roman"/>
          <w:b w:val="0"/>
          <w:color w:val="222222"/>
          <w:sz w:val="24"/>
          <w:szCs w:val="28"/>
          <w:shd w:val="clear" w:color="auto" w:fill="FFFFFF"/>
        </w:rPr>
        <w:t>72410000-7 Послуги провайдерів</w:t>
      </w:r>
      <w:r w:rsidRPr="006E74A4">
        <w:rPr>
          <w:rFonts w:ascii="Times New Roman" w:hAnsi="Times New Roman"/>
          <w:sz w:val="24"/>
          <w:szCs w:val="24"/>
        </w:rPr>
        <w:t>.</w:t>
      </w:r>
    </w:p>
    <w:p w14:paraId="06854CEB" w14:textId="77777777" w:rsidR="006E74A4" w:rsidRPr="006E74A4" w:rsidRDefault="006E74A4" w:rsidP="006E74A4">
      <w:pPr>
        <w:jc w:val="both"/>
      </w:pPr>
    </w:p>
    <w:p w14:paraId="42E49023" w14:textId="77777777" w:rsidR="006E74A4" w:rsidRPr="006E74A4" w:rsidRDefault="006E74A4" w:rsidP="006E74A4">
      <w:pPr>
        <w:numPr>
          <w:ilvl w:val="3"/>
          <w:numId w:val="45"/>
        </w:numPr>
        <w:ind w:left="0" w:firstLine="567"/>
        <w:jc w:val="both"/>
        <w:rPr>
          <w:color w:val="000000"/>
        </w:rPr>
      </w:pPr>
      <w:r w:rsidRPr="006E74A4">
        <w:rPr>
          <w:color w:val="000000"/>
        </w:rPr>
        <w:t>Загальні вимоги:</w:t>
      </w:r>
    </w:p>
    <w:p w14:paraId="557A7477" w14:textId="77777777" w:rsidR="006E74A4" w:rsidRPr="006E74A4" w:rsidRDefault="006E74A4" w:rsidP="006E74A4">
      <w:pPr>
        <w:numPr>
          <w:ilvl w:val="1"/>
          <w:numId w:val="46"/>
        </w:numPr>
        <w:tabs>
          <w:tab w:val="left" w:pos="851"/>
          <w:tab w:val="left" w:pos="1134"/>
        </w:tabs>
        <w:ind w:left="0" w:firstLine="567"/>
        <w:jc w:val="both"/>
      </w:pPr>
      <w:r w:rsidRPr="006E74A4">
        <w:rPr>
          <w:color w:val="000000"/>
        </w:rPr>
        <w:t>Послуги захищеного доступу до мережі Інтернет повинні надаватися відповідно до чинних в Україні законодавчих та нормативних актів, зокрема:</w:t>
      </w:r>
    </w:p>
    <w:p w14:paraId="55D2ECB2" w14:textId="77777777" w:rsidR="006E74A4" w:rsidRPr="006E74A4" w:rsidRDefault="006E74A4" w:rsidP="006E74A4">
      <w:pPr>
        <w:numPr>
          <w:ilvl w:val="0"/>
          <w:numId w:val="47"/>
        </w:numPr>
        <w:tabs>
          <w:tab w:val="left" w:pos="1134"/>
        </w:tabs>
        <w:ind w:left="0" w:firstLine="567"/>
        <w:jc w:val="both"/>
        <w:rPr>
          <w:color w:val="000000"/>
        </w:rPr>
      </w:pPr>
      <w:r w:rsidRPr="006E74A4">
        <w:rPr>
          <w:color w:val="000000"/>
        </w:rPr>
        <w:t>Закону України «Про електронні комунікації»;</w:t>
      </w:r>
    </w:p>
    <w:p w14:paraId="17CF3EFC" w14:textId="77777777" w:rsidR="006E74A4" w:rsidRPr="006E74A4" w:rsidRDefault="006E74A4" w:rsidP="006E74A4">
      <w:pPr>
        <w:numPr>
          <w:ilvl w:val="0"/>
          <w:numId w:val="47"/>
        </w:numPr>
        <w:tabs>
          <w:tab w:val="left" w:pos="1134"/>
        </w:tabs>
        <w:ind w:left="0" w:firstLine="567"/>
        <w:jc w:val="both"/>
        <w:rPr>
          <w:color w:val="000000"/>
        </w:rPr>
      </w:pPr>
      <w:r w:rsidRPr="006E74A4">
        <w:rPr>
          <w:color w:val="000000"/>
        </w:rPr>
        <w:t xml:space="preserve">Указу Президента України «Про деякі заходи щодо захисту державних інформаційних ресурсів у мережах передачі даних» від 24 вересня 2001 р. № 891/2001; </w:t>
      </w:r>
    </w:p>
    <w:p w14:paraId="04B0069E" w14:textId="77777777" w:rsidR="006E74A4" w:rsidRPr="006E74A4" w:rsidRDefault="006E74A4" w:rsidP="006E74A4">
      <w:pPr>
        <w:numPr>
          <w:ilvl w:val="0"/>
          <w:numId w:val="47"/>
        </w:numPr>
        <w:tabs>
          <w:tab w:val="left" w:pos="1134"/>
        </w:tabs>
        <w:ind w:left="0" w:firstLine="567"/>
        <w:jc w:val="both"/>
      </w:pPr>
      <w:r w:rsidRPr="006E74A4">
        <w:rPr>
          <w:color w:val="000000"/>
        </w:rPr>
        <w:t xml:space="preserve">Порядку координації діяльності органів державної влади, органів місцевого самоврядування, військових формувань, підприємств, установ і організацій незалежно від форм власності з питань запобігання, виявлення та усунення наслідків несанкціонованих дій щодо державних інформаційних ресурсів в інформаційних, електронних комунікаційних та інформаційно-комунікаційних системах, затвердженого наказом Адміністрації </w:t>
      </w:r>
      <w:proofErr w:type="spellStart"/>
      <w:r w:rsidRPr="006E74A4">
        <w:rPr>
          <w:color w:val="000000"/>
        </w:rPr>
        <w:t>Держспецзв'язку</w:t>
      </w:r>
      <w:proofErr w:type="spellEnd"/>
      <w:r w:rsidRPr="006E74A4">
        <w:rPr>
          <w:color w:val="000000"/>
        </w:rPr>
        <w:t xml:space="preserve"> від 10.06.2008 № 94, зареєстрованого в Міністерстві юстиції України 7 липня 2008 р. за № 603/15294;</w:t>
      </w:r>
    </w:p>
    <w:p w14:paraId="6FFA904C" w14:textId="77777777" w:rsidR="006E74A4" w:rsidRPr="006E74A4" w:rsidRDefault="006E74A4" w:rsidP="006E74A4">
      <w:pPr>
        <w:numPr>
          <w:ilvl w:val="0"/>
          <w:numId w:val="47"/>
        </w:numPr>
        <w:tabs>
          <w:tab w:val="left" w:pos="1134"/>
        </w:tabs>
        <w:ind w:left="0" w:firstLine="567"/>
        <w:jc w:val="both"/>
        <w:rPr>
          <w:color w:val="000000"/>
        </w:rPr>
      </w:pPr>
      <w:r w:rsidRPr="006E74A4">
        <w:rPr>
          <w:color w:val="000000"/>
        </w:rPr>
        <w:t>Правил надання та отримання телекомунікаційних послуг, затверджених постановою Кабінету Міністрів України від 11 квітня 2012 р. № 295, та інших нормативно-правових актів України у сфері електронних комунікацій.</w:t>
      </w:r>
    </w:p>
    <w:p w14:paraId="7A7E9696" w14:textId="77777777" w:rsidR="006E74A4" w:rsidRPr="006E74A4" w:rsidRDefault="006E74A4" w:rsidP="006E74A4">
      <w:pPr>
        <w:numPr>
          <w:ilvl w:val="1"/>
          <w:numId w:val="46"/>
        </w:numPr>
        <w:tabs>
          <w:tab w:val="left" w:pos="709"/>
          <w:tab w:val="left" w:pos="851"/>
          <w:tab w:val="left" w:pos="1134"/>
        </w:tabs>
        <w:ind w:left="0" w:firstLine="567"/>
        <w:jc w:val="both"/>
      </w:pPr>
      <w:r w:rsidRPr="006E74A4">
        <w:rPr>
          <w:color w:val="000000"/>
        </w:rPr>
        <w:lastRenderedPageBreak/>
        <w:t>Цілодобовий захищений доступ до мережі Інтернет повинен надаватися через Захищений вузол Інтернет доступу (ЗВІД) Учасника, який повинен мати дійсний атестат відповідності системи захисту інформації та експертний висновок до нього.</w:t>
      </w:r>
    </w:p>
    <w:p w14:paraId="6563F6BF" w14:textId="77777777" w:rsidR="006E74A4" w:rsidRPr="006E74A4" w:rsidRDefault="006E74A4" w:rsidP="006E74A4">
      <w:pPr>
        <w:numPr>
          <w:ilvl w:val="1"/>
          <w:numId w:val="46"/>
        </w:numPr>
        <w:tabs>
          <w:tab w:val="left" w:pos="709"/>
          <w:tab w:val="left" w:pos="851"/>
          <w:tab w:val="left" w:pos="1134"/>
        </w:tabs>
        <w:ind w:left="0" w:firstLine="567"/>
        <w:jc w:val="both"/>
      </w:pPr>
      <w:r w:rsidRPr="006E74A4">
        <w:t>Захищений вузол Інтернет-доступу (надалі – ЗВІД) Виконавця, повинен являти собою сукупність програмно-технічних засобів та організаційних заходів для забезпечення доступу органів державної влади до мережі Інтернет із захистом інформаційних ресурсів відповідно до вимог законодавства України.</w:t>
      </w:r>
    </w:p>
    <w:p w14:paraId="46FDD9C6"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 xml:space="preserve">Учасник має бути включений до Реєстру </w:t>
      </w:r>
      <w:r w:rsidRPr="006E74A4">
        <w:rPr>
          <w:rFonts w:ascii="Times New Roman" w:hAnsi="Times New Roman" w:cs="Times New Roman"/>
        </w:rPr>
        <w:t>постачальників електронних комунікаційних мереж та послуг</w:t>
      </w:r>
      <w:r w:rsidRPr="006E74A4">
        <w:rPr>
          <w:rFonts w:ascii="Times New Roman" w:hAnsi="Times New Roman" w:cs="Times New Roman"/>
          <w:bCs/>
          <w:color w:val="000000"/>
        </w:rPr>
        <w:t xml:space="preserve"> та мати право надавати відповідний вид послуги на адресах Замовника.</w:t>
      </w:r>
    </w:p>
    <w:p w14:paraId="13985959"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Послуги повинні надаватися за наступними адресами:</w:t>
      </w:r>
    </w:p>
    <w:p w14:paraId="56A86BB2" w14:textId="77777777" w:rsidR="006E74A4" w:rsidRPr="006E74A4" w:rsidRDefault="006E74A4" w:rsidP="006E74A4">
      <w:pPr>
        <w:pStyle w:val="af"/>
        <w:numPr>
          <w:ilvl w:val="0"/>
          <w:numId w:val="44"/>
        </w:numPr>
        <w:tabs>
          <w:tab w:val="left" w:pos="851"/>
        </w:tabs>
        <w:autoSpaceDE w:val="0"/>
        <w:autoSpaceDN w:val="0"/>
        <w:adjustRightInd w:val="0"/>
        <w:ind w:left="0" w:firstLine="567"/>
        <w:jc w:val="both"/>
        <w:rPr>
          <w:rFonts w:ascii="Times New Roman" w:hAnsi="Times New Roman" w:cs="Times New Roman"/>
          <w:bCs/>
          <w:color w:val="000000"/>
        </w:rPr>
      </w:pPr>
      <w:proofErr w:type="spellStart"/>
      <w:r w:rsidRPr="006E74A4">
        <w:rPr>
          <w:rFonts w:ascii="Times New Roman" w:hAnsi="Times New Roman" w:cs="Times New Roman"/>
          <w:bCs/>
          <w:color w:val="000000"/>
        </w:rPr>
        <w:t>адмінбудинок</w:t>
      </w:r>
      <w:proofErr w:type="spellEnd"/>
      <w:r w:rsidRPr="006E74A4">
        <w:rPr>
          <w:rFonts w:ascii="Times New Roman" w:hAnsi="Times New Roman" w:cs="Times New Roman"/>
          <w:bCs/>
          <w:color w:val="000000"/>
        </w:rPr>
        <w:t xml:space="preserve"> митниці</w:t>
      </w:r>
      <w:r w:rsidRPr="006E74A4">
        <w:rPr>
          <w:rFonts w:ascii="Times New Roman" w:hAnsi="Times New Roman" w:cs="Times New Roman"/>
        </w:rPr>
        <w:t>, 88000,</w:t>
      </w:r>
      <w:r w:rsidRPr="006E74A4">
        <w:rPr>
          <w:rFonts w:ascii="Times New Roman" w:hAnsi="Times New Roman" w:cs="Times New Roman"/>
          <w:color w:val="000000"/>
        </w:rPr>
        <w:t xml:space="preserve"> Закарпатська область, м. Ужгород, вул. Собранецька, 20</w:t>
      </w:r>
      <w:r w:rsidRPr="006E74A4">
        <w:rPr>
          <w:rFonts w:ascii="Times New Roman" w:hAnsi="Times New Roman" w:cs="Times New Roman"/>
        </w:rPr>
        <w:t xml:space="preserve">. Гарантована швидкість доступу до ресурсів мережі Інтернет без урахування обсягів прийнятої та переданої інформації -  </w:t>
      </w:r>
      <w:r w:rsidRPr="006E74A4">
        <w:rPr>
          <w:rFonts w:ascii="Times New Roman" w:hAnsi="Times New Roman" w:cs="Times New Roman"/>
          <w:b/>
          <w:bCs/>
        </w:rPr>
        <w:t xml:space="preserve">100 </w:t>
      </w:r>
      <w:r w:rsidRPr="006E74A4">
        <w:rPr>
          <w:rFonts w:ascii="Times New Roman" w:hAnsi="Times New Roman" w:cs="Times New Roman"/>
          <w:bCs/>
        </w:rPr>
        <w:t>Мбіт/с.</w:t>
      </w:r>
    </w:p>
    <w:p w14:paraId="163866A1" w14:textId="77777777" w:rsidR="006E74A4" w:rsidRPr="006E74A4" w:rsidRDefault="006E74A4" w:rsidP="006E74A4">
      <w:pPr>
        <w:pStyle w:val="af"/>
        <w:numPr>
          <w:ilvl w:val="0"/>
          <w:numId w:val="44"/>
        </w:numPr>
        <w:tabs>
          <w:tab w:val="left" w:pos="851"/>
        </w:tabs>
        <w:autoSpaceDE w:val="0"/>
        <w:autoSpaceDN w:val="0"/>
        <w:adjustRightInd w:val="0"/>
        <w:ind w:left="0" w:firstLine="567"/>
        <w:jc w:val="both"/>
        <w:rPr>
          <w:rFonts w:ascii="Times New Roman" w:hAnsi="Times New Roman" w:cs="Times New Roman"/>
          <w:bCs/>
          <w:color w:val="000000"/>
        </w:rPr>
      </w:pPr>
      <w:proofErr w:type="spellStart"/>
      <w:r w:rsidRPr="006E74A4">
        <w:rPr>
          <w:rFonts w:ascii="Times New Roman" w:hAnsi="Times New Roman" w:cs="Times New Roman"/>
          <w:bCs/>
          <w:color w:val="000000"/>
        </w:rPr>
        <w:t>адмінбудинок</w:t>
      </w:r>
      <w:proofErr w:type="spellEnd"/>
      <w:r w:rsidRPr="006E74A4">
        <w:rPr>
          <w:rFonts w:ascii="Times New Roman" w:hAnsi="Times New Roman" w:cs="Times New Roman"/>
          <w:bCs/>
          <w:color w:val="000000"/>
        </w:rPr>
        <w:t xml:space="preserve"> митниці / м/п «Чоп-залізничний», 89500, м. Чоп, площа Європейська, 7.</w:t>
      </w:r>
      <w:r w:rsidRPr="006E74A4">
        <w:rPr>
          <w:rFonts w:ascii="Times New Roman" w:hAnsi="Times New Roman" w:cs="Times New Roman"/>
        </w:rPr>
        <w:t xml:space="preserve"> Гарантована швидкість доступу до ресурсів мережі Інтернет без урахування обсягів прийнятої та переданої інформації -  </w:t>
      </w:r>
      <w:r w:rsidRPr="006E74A4">
        <w:rPr>
          <w:rFonts w:ascii="Times New Roman" w:hAnsi="Times New Roman" w:cs="Times New Roman"/>
          <w:b/>
          <w:bCs/>
        </w:rPr>
        <w:t xml:space="preserve">10 </w:t>
      </w:r>
      <w:r w:rsidRPr="006E74A4">
        <w:rPr>
          <w:rFonts w:ascii="Times New Roman" w:hAnsi="Times New Roman" w:cs="Times New Roman"/>
          <w:bCs/>
        </w:rPr>
        <w:t>Мбіт/с.</w:t>
      </w:r>
    </w:p>
    <w:p w14:paraId="0CC5F599" w14:textId="77777777" w:rsidR="006E74A4" w:rsidRPr="006E74A4" w:rsidRDefault="006E74A4" w:rsidP="006E74A4">
      <w:pPr>
        <w:pStyle w:val="af"/>
        <w:numPr>
          <w:ilvl w:val="0"/>
          <w:numId w:val="44"/>
        </w:numPr>
        <w:tabs>
          <w:tab w:val="left" w:pos="851"/>
        </w:tabs>
        <w:autoSpaceDE w:val="0"/>
        <w:autoSpaceDN w:val="0"/>
        <w:adjustRightInd w:val="0"/>
        <w:ind w:left="0" w:firstLine="567"/>
        <w:jc w:val="both"/>
        <w:rPr>
          <w:rFonts w:ascii="Times New Roman" w:hAnsi="Times New Roman" w:cs="Times New Roman"/>
          <w:bCs/>
          <w:color w:val="000000"/>
        </w:rPr>
      </w:pPr>
      <w:proofErr w:type="spellStart"/>
      <w:r w:rsidRPr="006E74A4">
        <w:rPr>
          <w:rFonts w:ascii="Times New Roman" w:hAnsi="Times New Roman" w:cs="Times New Roman"/>
          <w:bCs/>
          <w:color w:val="000000"/>
        </w:rPr>
        <w:t>адмінбудинок</w:t>
      </w:r>
      <w:proofErr w:type="spellEnd"/>
      <w:r w:rsidRPr="006E74A4">
        <w:rPr>
          <w:rFonts w:ascii="Times New Roman" w:hAnsi="Times New Roman" w:cs="Times New Roman"/>
          <w:bCs/>
          <w:color w:val="000000"/>
        </w:rPr>
        <w:t xml:space="preserve"> митниці, 90300, м. Виноградів, вул. </w:t>
      </w:r>
      <w:proofErr w:type="spellStart"/>
      <w:r w:rsidRPr="006E74A4">
        <w:rPr>
          <w:rFonts w:ascii="Times New Roman" w:hAnsi="Times New Roman" w:cs="Times New Roman"/>
          <w:bCs/>
          <w:color w:val="000000"/>
        </w:rPr>
        <w:t>Копанська</w:t>
      </w:r>
      <w:proofErr w:type="spellEnd"/>
      <w:r w:rsidRPr="006E74A4">
        <w:rPr>
          <w:rFonts w:ascii="Times New Roman" w:hAnsi="Times New Roman" w:cs="Times New Roman"/>
          <w:bCs/>
          <w:color w:val="000000"/>
        </w:rPr>
        <w:t xml:space="preserve"> 90. </w:t>
      </w:r>
      <w:r w:rsidRPr="006E74A4">
        <w:rPr>
          <w:rFonts w:ascii="Times New Roman" w:hAnsi="Times New Roman" w:cs="Times New Roman"/>
        </w:rPr>
        <w:t xml:space="preserve">Гарантована швидкість доступу до ресурсів мережі Інтернет без урахування обсягів прийнятої та переданої інформації - </w:t>
      </w:r>
      <w:r w:rsidRPr="006E74A4">
        <w:rPr>
          <w:rFonts w:ascii="Times New Roman" w:hAnsi="Times New Roman" w:cs="Times New Roman"/>
          <w:b/>
          <w:bCs/>
        </w:rPr>
        <w:t>10</w:t>
      </w:r>
      <w:r w:rsidRPr="006E74A4">
        <w:rPr>
          <w:rFonts w:ascii="Times New Roman" w:hAnsi="Times New Roman" w:cs="Times New Roman"/>
          <w:bCs/>
        </w:rPr>
        <w:t xml:space="preserve"> Мбіт/с.</w:t>
      </w:r>
    </w:p>
    <w:p w14:paraId="216BB085" w14:textId="77777777" w:rsidR="006E74A4" w:rsidRPr="006E74A4" w:rsidRDefault="006E74A4" w:rsidP="006E74A4">
      <w:pPr>
        <w:pStyle w:val="af"/>
        <w:widowControl w:val="0"/>
        <w:numPr>
          <w:ilvl w:val="0"/>
          <w:numId w:val="46"/>
        </w:numPr>
        <w:tabs>
          <w:tab w:val="left" w:pos="0"/>
        </w:tabs>
        <w:autoSpaceDE w:val="0"/>
        <w:autoSpaceDN w:val="0"/>
        <w:ind w:left="0" w:right="138" w:firstLine="567"/>
        <w:jc w:val="both"/>
        <w:rPr>
          <w:rFonts w:ascii="Times New Roman" w:hAnsi="Times New Roman" w:cs="Times New Roman"/>
        </w:rPr>
      </w:pPr>
      <w:r w:rsidRPr="006E74A4">
        <w:rPr>
          <w:rFonts w:ascii="Times New Roman" w:hAnsi="Times New Roman" w:cs="Times New Roman"/>
          <w:bCs/>
          <w:color w:val="000000"/>
        </w:rPr>
        <w:t>Підключення Замовника до мережі Інтернет здійснюється за технологією TCP/IP по виділеній оптично-волоконній лінії зв’язку.</w:t>
      </w:r>
    </w:p>
    <w:p w14:paraId="3B5FB229" w14:textId="77777777" w:rsidR="006E74A4" w:rsidRPr="006E74A4" w:rsidRDefault="006E74A4" w:rsidP="006E74A4">
      <w:pPr>
        <w:pStyle w:val="af"/>
        <w:widowControl w:val="0"/>
        <w:numPr>
          <w:ilvl w:val="0"/>
          <w:numId w:val="46"/>
        </w:numPr>
        <w:tabs>
          <w:tab w:val="left" w:pos="0"/>
        </w:tabs>
        <w:autoSpaceDE w:val="0"/>
        <w:autoSpaceDN w:val="0"/>
        <w:ind w:left="0" w:right="138" w:firstLine="567"/>
        <w:jc w:val="both"/>
        <w:rPr>
          <w:rFonts w:ascii="Times New Roman" w:hAnsi="Times New Roman" w:cs="Times New Roman"/>
        </w:rPr>
      </w:pPr>
      <w:r w:rsidRPr="006E74A4">
        <w:rPr>
          <w:rFonts w:ascii="Times New Roman" w:hAnsi="Times New Roman" w:cs="Times New Roman"/>
          <w:bCs/>
          <w:color w:val="000000"/>
        </w:rPr>
        <w:t xml:space="preserve">Зона відповідальності Виконавця при наданні Послуг – до інтерфейсу локального мережевого обладнання у кожному </w:t>
      </w:r>
      <w:proofErr w:type="spellStart"/>
      <w:r w:rsidRPr="006E74A4">
        <w:rPr>
          <w:rFonts w:ascii="Times New Roman" w:hAnsi="Times New Roman" w:cs="Times New Roman"/>
          <w:bCs/>
          <w:color w:val="000000"/>
        </w:rPr>
        <w:t>вузлі</w:t>
      </w:r>
      <w:proofErr w:type="spellEnd"/>
      <w:r w:rsidRPr="006E74A4">
        <w:rPr>
          <w:rFonts w:ascii="Times New Roman" w:hAnsi="Times New Roman" w:cs="Times New Roman"/>
          <w:bCs/>
          <w:color w:val="000000"/>
        </w:rPr>
        <w:t xml:space="preserve"> Замовника. Відповідно все обладнання, включаючи кабелі до інтерфейсу локального мережевого обладнання вузлів мережі, надається, встановлюється та налагоджується Виконавцем в рамках надання Послуг, та не використовується для інших цілей. </w:t>
      </w:r>
    </w:p>
    <w:p w14:paraId="6142B28C"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 xml:space="preserve">Інтерфейс підключення до мережі на вузлах мережі – </w:t>
      </w:r>
      <w:proofErr w:type="spellStart"/>
      <w:r w:rsidRPr="006E74A4">
        <w:rPr>
          <w:rFonts w:ascii="Times New Roman" w:hAnsi="Times New Roman" w:cs="Times New Roman"/>
          <w:bCs/>
          <w:color w:val="000000"/>
        </w:rPr>
        <w:t>Fast</w:t>
      </w:r>
      <w:proofErr w:type="spellEnd"/>
      <w:r w:rsidRPr="006E74A4">
        <w:rPr>
          <w:rFonts w:ascii="Times New Roman" w:hAnsi="Times New Roman" w:cs="Times New Roman"/>
          <w:bCs/>
          <w:color w:val="000000"/>
        </w:rPr>
        <w:t xml:space="preserve"> </w:t>
      </w:r>
      <w:proofErr w:type="spellStart"/>
      <w:r w:rsidRPr="006E74A4">
        <w:rPr>
          <w:rFonts w:ascii="Times New Roman" w:hAnsi="Times New Roman" w:cs="Times New Roman"/>
          <w:bCs/>
          <w:color w:val="000000"/>
        </w:rPr>
        <w:t>Ethernet</w:t>
      </w:r>
      <w:proofErr w:type="spellEnd"/>
      <w:r w:rsidRPr="006E74A4">
        <w:rPr>
          <w:rFonts w:ascii="Times New Roman" w:hAnsi="Times New Roman" w:cs="Times New Roman"/>
          <w:bCs/>
          <w:color w:val="000000"/>
        </w:rPr>
        <w:t>.</w:t>
      </w:r>
    </w:p>
    <w:p w14:paraId="56C89507"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Тип роз’єму підключення каналу передачі даних до кінцевого обладнання - роз'єм (вилка) типу RJ-45.</w:t>
      </w:r>
    </w:p>
    <w:p w14:paraId="680A0428"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 xml:space="preserve">Послуги повинні включати: </w:t>
      </w:r>
    </w:p>
    <w:p w14:paraId="634E71D5" w14:textId="77777777" w:rsidR="006E74A4" w:rsidRPr="006E74A4" w:rsidRDefault="006E74A4" w:rsidP="006E74A4">
      <w:pPr>
        <w:pStyle w:val="af"/>
        <w:numPr>
          <w:ilvl w:val="1"/>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виділення однієї IPv4 адреси мережі Інтернет за адресою 88000, Закарпатська область, м. Ужгород, вул. Собранецька, 20;</w:t>
      </w:r>
    </w:p>
    <w:p w14:paraId="5371E985" w14:textId="77777777" w:rsidR="006E74A4" w:rsidRPr="006E74A4" w:rsidRDefault="006E74A4" w:rsidP="006E74A4">
      <w:pPr>
        <w:pStyle w:val="af"/>
        <w:numPr>
          <w:ilvl w:val="1"/>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 xml:space="preserve"> підтримка </w:t>
      </w:r>
      <w:proofErr w:type="spellStart"/>
      <w:r w:rsidRPr="006E74A4">
        <w:rPr>
          <w:rFonts w:ascii="Times New Roman" w:hAnsi="Times New Roman" w:cs="Times New Roman"/>
          <w:bCs/>
          <w:color w:val="000000"/>
        </w:rPr>
        <w:t>secondary</w:t>
      </w:r>
      <w:proofErr w:type="spellEnd"/>
      <w:r w:rsidRPr="006E74A4">
        <w:rPr>
          <w:rFonts w:ascii="Times New Roman" w:hAnsi="Times New Roman" w:cs="Times New Roman"/>
          <w:bCs/>
          <w:color w:val="000000"/>
        </w:rPr>
        <w:t xml:space="preserve"> DNS на власних серверах.</w:t>
      </w:r>
    </w:p>
    <w:p w14:paraId="541877CB"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color w:val="000000"/>
        </w:rPr>
        <w:t>Послуги надаються в режимі 24/7/365.</w:t>
      </w:r>
    </w:p>
    <w:p w14:paraId="49B896D7"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t xml:space="preserve">Затримка передачі даних з серверів Інтернет, розташованих в Європі та США, виміряна за допомогою утиліт </w:t>
      </w:r>
      <w:proofErr w:type="spellStart"/>
      <w:r w:rsidRPr="006E74A4">
        <w:rPr>
          <w:rFonts w:ascii="Times New Roman" w:hAnsi="Times New Roman" w:cs="Times New Roman"/>
          <w:bCs/>
        </w:rPr>
        <w:t>traceroute</w:t>
      </w:r>
      <w:proofErr w:type="spellEnd"/>
      <w:r w:rsidRPr="006E74A4">
        <w:rPr>
          <w:rFonts w:ascii="Times New Roman" w:hAnsi="Times New Roman" w:cs="Times New Roman"/>
          <w:bCs/>
        </w:rPr>
        <w:t xml:space="preserve"> або </w:t>
      </w:r>
      <w:proofErr w:type="spellStart"/>
      <w:r w:rsidRPr="006E74A4">
        <w:rPr>
          <w:rFonts w:ascii="Times New Roman" w:hAnsi="Times New Roman" w:cs="Times New Roman"/>
          <w:bCs/>
        </w:rPr>
        <w:t>ping</w:t>
      </w:r>
      <w:proofErr w:type="spellEnd"/>
      <w:r w:rsidRPr="006E74A4">
        <w:rPr>
          <w:rFonts w:ascii="Times New Roman" w:hAnsi="Times New Roman" w:cs="Times New Roman"/>
          <w:bCs/>
        </w:rPr>
        <w:t xml:space="preserve">, не більш ніж 250 </w:t>
      </w:r>
      <w:proofErr w:type="spellStart"/>
      <w:r w:rsidRPr="006E74A4">
        <w:rPr>
          <w:rFonts w:ascii="Times New Roman" w:hAnsi="Times New Roman" w:cs="Times New Roman"/>
          <w:bCs/>
        </w:rPr>
        <w:t>мілісекунд</w:t>
      </w:r>
      <w:proofErr w:type="spellEnd"/>
      <w:r w:rsidRPr="006E74A4">
        <w:rPr>
          <w:rFonts w:ascii="Times New Roman" w:hAnsi="Times New Roman" w:cs="Times New Roman"/>
          <w:bCs/>
        </w:rPr>
        <w:t xml:space="preserve"> для не менш ніж 95% тестових пакетів.</w:t>
      </w:r>
    </w:p>
    <w:p w14:paraId="497F85C1"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t xml:space="preserve">Наявність кваліфікованої цілодобової технічної підтримки та моніторингу, надання консультативної та технічної допомоги Замовнику по забезпеченню керування доступом до ресурсів Інтернет, маршрутизації електронної пошти, поштових служб та інтерфейсу </w:t>
      </w:r>
      <w:proofErr w:type="spellStart"/>
      <w:r w:rsidRPr="006E74A4">
        <w:rPr>
          <w:rFonts w:ascii="Times New Roman" w:hAnsi="Times New Roman" w:cs="Times New Roman"/>
          <w:bCs/>
        </w:rPr>
        <w:t>web-mail</w:t>
      </w:r>
      <w:proofErr w:type="spellEnd"/>
      <w:r w:rsidRPr="006E74A4">
        <w:rPr>
          <w:rFonts w:ascii="Times New Roman" w:hAnsi="Times New Roman" w:cs="Times New Roman"/>
          <w:bCs/>
        </w:rPr>
        <w:t>.</w:t>
      </w:r>
    </w:p>
    <w:p w14:paraId="3C3B1A2D"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t xml:space="preserve"> Забезпечення доступу до статистики використання та навантаження каналу зв’язку та доступу до Інтернет.</w:t>
      </w:r>
    </w:p>
    <w:p w14:paraId="4267FAC0"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t xml:space="preserve">Забезпечення адаптованого захисту на стороні </w:t>
      </w:r>
      <w:r w:rsidRPr="006E74A4">
        <w:rPr>
          <w:rFonts w:ascii="Times New Roman" w:hAnsi="Times New Roman" w:cs="Times New Roman"/>
          <w:bCs/>
          <w:color w:val="000000"/>
        </w:rPr>
        <w:t xml:space="preserve">Учасника </w:t>
      </w:r>
      <w:r w:rsidRPr="006E74A4">
        <w:rPr>
          <w:rFonts w:ascii="Times New Roman" w:hAnsi="Times New Roman" w:cs="Times New Roman"/>
          <w:bCs/>
        </w:rPr>
        <w:t xml:space="preserve">каналів зв’язку між магістральним мережним комутаційним обладнанням Замовника і </w:t>
      </w:r>
      <w:r w:rsidRPr="006E74A4">
        <w:rPr>
          <w:rFonts w:ascii="Times New Roman" w:hAnsi="Times New Roman" w:cs="Times New Roman"/>
          <w:bCs/>
          <w:color w:val="000000"/>
        </w:rPr>
        <w:t xml:space="preserve">Учасника </w:t>
      </w:r>
      <w:r w:rsidRPr="006E74A4">
        <w:rPr>
          <w:rFonts w:ascii="Times New Roman" w:hAnsi="Times New Roman" w:cs="Times New Roman"/>
          <w:bCs/>
        </w:rPr>
        <w:t>від паразитного мережевого трафіку, який може призвести до переповнення каналу.</w:t>
      </w:r>
    </w:p>
    <w:p w14:paraId="2A0B7FC1"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t>Забезпечення за умови різкого збільшення трафіку тимчасового підвищення  пропускної здатності каналу доступу до мереж та ресурсів.</w:t>
      </w:r>
    </w:p>
    <w:p w14:paraId="1630C716"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t xml:space="preserve">Забезпечення налагодження мережевої фільтрації та зовнішньої маршрутизації каналів зв’язку на стороні </w:t>
      </w:r>
      <w:r w:rsidRPr="006E74A4">
        <w:rPr>
          <w:rFonts w:ascii="Times New Roman" w:hAnsi="Times New Roman" w:cs="Times New Roman"/>
          <w:bCs/>
          <w:color w:val="000000"/>
        </w:rPr>
        <w:t xml:space="preserve">Учасника </w:t>
      </w:r>
      <w:r w:rsidRPr="006E74A4">
        <w:rPr>
          <w:rFonts w:ascii="Times New Roman" w:hAnsi="Times New Roman" w:cs="Times New Roman"/>
          <w:bCs/>
        </w:rPr>
        <w:t>з метою зменшення впливу мережевих атак на функціонування інформаційних ресурсів Замовника.</w:t>
      </w:r>
    </w:p>
    <w:p w14:paraId="685264C4"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lastRenderedPageBreak/>
        <w:t>Надання за зверненням Замовника кваліфікованої консультативної та технічної допомоги по налагодженню обладнання та сервісів Замовника, що забезпечують доступ до зовнішніх мережевих ресурсів.</w:t>
      </w:r>
    </w:p>
    <w:p w14:paraId="3BF0A1DF" w14:textId="77777777" w:rsidR="006E74A4" w:rsidRPr="006E74A4" w:rsidRDefault="006E74A4" w:rsidP="006E74A4">
      <w:pPr>
        <w:pStyle w:val="af"/>
        <w:numPr>
          <w:ilvl w:val="0"/>
          <w:numId w:val="46"/>
        </w:numPr>
        <w:tabs>
          <w:tab w:val="left" w:pos="851"/>
        </w:tabs>
        <w:autoSpaceDE w:val="0"/>
        <w:autoSpaceDN w:val="0"/>
        <w:adjustRightInd w:val="0"/>
        <w:ind w:left="0" w:firstLine="567"/>
        <w:jc w:val="both"/>
        <w:rPr>
          <w:rFonts w:ascii="Times New Roman" w:hAnsi="Times New Roman" w:cs="Times New Roman"/>
          <w:bCs/>
          <w:color w:val="000000"/>
        </w:rPr>
      </w:pPr>
      <w:r w:rsidRPr="006E74A4">
        <w:rPr>
          <w:rFonts w:ascii="Times New Roman" w:hAnsi="Times New Roman" w:cs="Times New Roman"/>
          <w:bCs/>
        </w:rPr>
        <w:t xml:space="preserve">Загальна тривалість профілактичних робіт, що проводяться </w:t>
      </w:r>
      <w:r w:rsidRPr="006E74A4">
        <w:rPr>
          <w:rFonts w:ascii="Times New Roman" w:hAnsi="Times New Roman" w:cs="Times New Roman"/>
          <w:bCs/>
          <w:color w:val="000000"/>
        </w:rPr>
        <w:t>Учасником,</w:t>
      </w:r>
      <w:r w:rsidRPr="006E74A4">
        <w:rPr>
          <w:rFonts w:ascii="Times New Roman" w:hAnsi="Times New Roman" w:cs="Times New Roman"/>
          <w:bCs/>
        </w:rPr>
        <w:t xml:space="preserve"> не повинна перевищувати 12 (дванадцяти) годин на місяць, з обов’язковим завчасним інформуванням Замовника.</w:t>
      </w:r>
    </w:p>
    <w:p w14:paraId="22978EEB" w14:textId="77777777" w:rsidR="002E22B7" w:rsidRPr="006E74A4" w:rsidRDefault="002E22B7" w:rsidP="00F5430D">
      <w:pPr>
        <w:pStyle w:val="af"/>
        <w:ind w:left="1419"/>
        <w:jc w:val="both"/>
        <w:rPr>
          <w:rFonts w:ascii="Times New Roman" w:hAnsi="Times New Roman" w:cs="Times New Roman"/>
          <w:lang w:eastAsia="uk-UA"/>
        </w:rPr>
      </w:pPr>
    </w:p>
    <w:p w14:paraId="599F2B14" w14:textId="0A9A7B8E" w:rsidR="0044255F" w:rsidRPr="006E74A4" w:rsidRDefault="00A0247F" w:rsidP="00F5430D">
      <w:pPr>
        <w:tabs>
          <w:tab w:val="left" w:pos="180"/>
        </w:tabs>
        <w:ind w:firstLine="426"/>
        <w:jc w:val="both"/>
        <w:rPr>
          <w:b/>
        </w:rPr>
      </w:pPr>
      <w:r w:rsidRPr="006E74A4">
        <w:rPr>
          <w:b/>
        </w:rPr>
        <w:t>5. Обґрунтування розміру бюджетного призначення:</w:t>
      </w:r>
      <w:r w:rsidRPr="006E74A4">
        <w:t xml:space="preserve"> розмір бюджетного призначення </w:t>
      </w:r>
      <w:r w:rsidR="0044255F" w:rsidRPr="006E74A4">
        <w:t>для предмет</w:t>
      </w:r>
      <w:r w:rsidR="00270EDE" w:rsidRPr="006E74A4">
        <w:t>у</w:t>
      </w:r>
      <w:r w:rsidR="0044255F" w:rsidRPr="006E74A4">
        <w:t xml:space="preserve"> закупів</w:t>
      </w:r>
      <w:r w:rsidR="007C2BD8" w:rsidRPr="006E74A4">
        <w:t>л</w:t>
      </w:r>
      <w:r w:rsidR="00270EDE" w:rsidRPr="006E74A4">
        <w:t>і</w:t>
      </w:r>
      <w:r w:rsidR="0044255F" w:rsidRPr="006E74A4">
        <w:t xml:space="preserve"> відповідає розрахунку видатків до кошторису </w:t>
      </w:r>
      <w:r w:rsidR="00290903" w:rsidRPr="006E74A4">
        <w:t>Вінницької</w:t>
      </w:r>
      <w:r w:rsidR="00270EDE" w:rsidRPr="006E74A4">
        <w:t xml:space="preserve"> митниці </w:t>
      </w:r>
      <w:r w:rsidR="0044255F" w:rsidRPr="006E74A4">
        <w:t>на 202</w:t>
      </w:r>
      <w:r w:rsidR="009F013D" w:rsidRPr="006E74A4">
        <w:t>6</w:t>
      </w:r>
      <w:r w:rsidR="0044255F" w:rsidRPr="006E74A4">
        <w:t xml:space="preserve"> рік </w:t>
      </w:r>
      <w:r w:rsidR="00EF4CD6" w:rsidRPr="006E74A4">
        <w:t xml:space="preserve">(зі змінами) по </w:t>
      </w:r>
      <w:r w:rsidR="0044255F" w:rsidRPr="006E74A4">
        <w:t>загальн</w:t>
      </w:r>
      <w:r w:rsidR="00EF4CD6" w:rsidRPr="006E74A4">
        <w:t>ому</w:t>
      </w:r>
      <w:r w:rsidR="0044255F" w:rsidRPr="006E74A4">
        <w:t xml:space="preserve"> фонд</w:t>
      </w:r>
      <w:r w:rsidR="00EF4CD6" w:rsidRPr="006E74A4">
        <w:t>у</w:t>
      </w:r>
      <w:r w:rsidR="0044255F" w:rsidRPr="006E74A4">
        <w:t xml:space="preserve"> за КПКВК 3506010 «Керівництво та управління у сфері митної політики»</w:t>
      </w:r>
      <w:r w:rsidR="00853255" w:rsidRPr="006E74A4">
        <w:t xml:space="preserve"> з урахуванням середньої ринкової вартості аналогічних </w:t>
      </w:r>
      <w:r w:rsidR="00726764" w:rsidRPr="006E74A4">
        <w:t>п</w:t>
      </w:r>
      <w:r w:rsidR="00853255" w:rsidRPr="006E74A4">
        <w:t>о</w:t>
      </w:r>
      <w:r w:rsidR="00726764" w:rsidRPr="006E74A4">
        <w:t>слуг</w:t>
      </w:r>
      <w:r w:rsidR="0044255F" w:rsidRPr="006E74A4">
        <w:t>.</w:t>
      </w:r>
    </w:p>
    <w:p w14:paraId="4A447243" w14:textId="77777777" w:rsidR="0044255F" w:rsidRPr="006E74A4" w:rsidRDefault="0044255F" w:rsidP="00F5430D">
      <w:pPr>
        <w:ind w:firstLine="567"/>
        <w:contextualSpacing/>
        <w:jc w:val="both"/>
      </w:pPr>
    </w:p>
    <w:p w14:paraId="3EE03F91" w14:textId="759DD5D7" w:rsidR="007F146A" w:rsidRPr="006E74A4" w:rsidRDefault="00A0247F" w:rsidP="00F5430D">
      <w:pPr>
        <w:ind w:firstLine="426"/>
        <w:contextualSpacing/>
        <w:jc w:val="both"/>
      </w:pPr>
      <w:r w:rsidRPr="006E74A4">
        <w:rPr>
          <w:b/>
        </w:rPr>
        <w:t>6. Очікувана вартість предмета закупівлі:</w:t>
      </w:r>
      <w:r w:rsidR="00500435" w:rsidRPr="006E74A4">
        <w:rPr>
          <w:b/>
        </w:rPr>
        <w:t xml:space="preserve"> </w:t>
      </w:r>
      <w:r w:rsidR="006E74A4">
        <w:rPr>
          <w:b/>
          <w:color w:val="2C2931"/>
          <w:shd w:val="clear" w:color="auto" w:fill="FFFFFF"/>
        </w:rPr>
        <w:t>86</w:t>
      </w:r>
      <w:r w:rsidR="006E74A4">
        <w:rPr>
          <w:b/>
          <w:color w:val="2C2931"/>
          <w:shd w:val="clear" w:color="auto" w:fill="FFFFFF"/>
          <w:lang w:val="ru-RU"/>
        </w:rPr>
        <w:t> </w:t>
      </w:r>
      <w:r w:rsidR="006E74A4">
        <w:rPr>
          <w:b/>
          <w:color w:val="2C2931"/>
          <w:shd w:val="clear" w:color="auto" w:fill="FFFFFF"/>
        </w:rPr>
        <w:t>000</w:t>
      </w:r>
      <w:r w:rsidR="006E74A4">
        <w:rPr>
          <w:b/>
          <w:color w:val="2C2931"/>
          <w:shd w:val="clear" w:color="auto" w:fill="FFFFFF"/>
          <w:lang w:val="ru-RU"/>
        </w:rPr>
        <w:t>,</w:t>
      </w:r>
      <w:r w:rsidR="006E74A4" w:rsidRPr="006E74A4">
        <w:rPr>
          <w:b/>
          <w:color w:val="2C2931"/>
          <w:shd w:val="clear" w:color="auto" w:fill="FFFFFF"/>
        </w:rPr>
        <w:t>00</w:t>
      </w:r>
      <w:r w:rsidR="00DC5925" w:rsidRPr="006E74A4">
        <w:rPr>
          <w:b/>
        </w:rPr>
        <w:t xml:space="preserve"> </w:t>
      </w:r>
      <w:r w:rsidR="00EF4CD6" w:rsidRPr="006E74A4">
        <w:rPr>
          <w:b/>
        </w:rPr>
        <w:t>грн. з ПДВ</w:t>
      </w:r>
      <w:r w:rsidR="007B3889" w:rsidRPr="006E74A4">
        <w:rPr>
          <w:b/>
        </w:rPr>
        <w:t>.</w:t>
      </w:r>
    </w:p>
    <w:p w14:paraId="3BF3859A" w14:textId="1B8B6332" w:rsidR="00057AFB" w:rsidRPr="006E74A4" w:rsidRDefault="00500435" w:rsidP="00F5430D">
      <w:pPr>
        <w:ind w:firstLine="567"/>
        <w:contextualSpacing/>
        <w:jc w:val="both"/>
      </w:pPr>
      <w:r w:rsidRPr="006E74A4">
        <w:t xml:space="preserve"> </w:t>
      </w:r>
    </w:p>
    <w:p w14:paraId="08593C51" w14:textId="77777777" w:rsidR="00964E6F" w:rsidRPr="006E74A4" w:rsidRDefault="00A0247F" w:rsidP="00F5430D">
      <w:pPr>
        <w:ind w:firstLine="426"/>
        <w:contextualSpacing/>
        <w:jc w:val="both"/>
      </w:pPr>
      <w:r w:rsidRPr="006E74A4">
        <w:rPr>
          <w:b/>
        </w:rPr>
        <w:t>7. Обґрунтування очікуваної вартості предмета закупівлі:</w:t>
      </w:r>
      <w:r w:rsidRPr="006E74A4">
        <w:t xml:space="preserve"> </w:t>
      </w:r>
    </w:p>
    <w:p w14:paraId="626B9AF5" w14:textId="1AF03AB4" w:rsidR="00006754" w:rsidRPr="006E74A4" w:rsidRDefault="00853255" w:rsidP="00F5430D">
      <w:pPr>
        <w:ind w:firstLine="567"/>
        <w:contextualSpacing/>
        <w:jc w:val="both"/>
      </w:pPr>
      <w:r w:rsidRPr="006E74A4">
        <w:t>Н</w:t>
      </w:r>
      <w:r w:rsidR="00006754" w:rsidRPr="006E74A4">
        <w:t>аказом Міністерства розвитку економіки, торгівлі та сільського господарства України від 18.02.2020 №</w:t>
      </w:r>
      <w:r w:rsidRPr="006E74A4">
        <w:t xml:space="preserve"> </w:t>
      </w:r>
      <w:r w:rsidR="00006754" w:rsidRPr="006E74A4">
        <w:t>275 затверджена примірна методика визначення очікуваної вартості предмет</w:t>
      </w:r>
      <w:r w:rsidR="009E158C" w:rsidRPr="006E74A4">
        <w:t>а</w:t>
      </w:r>
      <w:r w:rsidR="00006754" w:rsidRPr="006E74A4">
        <w:t xml:space="preserve"> закупівлі, якою передбачені методи визначення очікуваної вартості предмет</w:t>
      </w:r>
      <w:r w:rsidR="009E158C" w:rsidRPr="006E74A4">
        <w:t>а</w:t>
      </w:r>
      <w:r w:rsidR="00006754" w:rsidRPr="006E74A4">
        <w:t xml:space="preserve"> закупівлі.</w:t>
      </w:r>
    </w:p>
    <w:p w14:paraId="5524974C" w14:textId="418507DB" w:rsidR="00006754" w:rsidRPr="006E74A4" w:rsidRDefault="00006754" w:rsidP="00F5430D">
      <w:pPr>
        <w:ind w:firstLine="426"/>
        <w:contextualSpacing/>
        <w:jc w:val="both"/>
      </w:pPr>
      <w:r w:rsidRPr="006E74A4">
        <w:t>Так, очікувана вартість предмет</w:t>
      </w:r>
      <w:r w:rsidR="009E158C" w:rsidRPr="006E74A4">
        <w:t>а</w:t>
      </w:r>
      <w:r w:rsidRPr="006E74A4">
        <w:t xml:space="preserve"> закупівлі визначена на підставі аналізу загальнодоступної інформації про ціну </w:t>
      </w:r>
      <w:r w:rsidR="00F41163" w:rsidRPr="006E74A4">
        <w:t>т</w:t>
      </w:r>
      <w:r w:rsidRPr="006E74A4">
        <w:t>о</w:t>
      </w:r>
      <w:r w:rsidR="00F41163" w:rsidRPr="006E74A4">
        <w:t>вар</w:t>
      </w:r>
      <w:r w:rsidRPr="006E74A4">
        <w:t>у (тобто інформація про ціни, що міст</w:t>
      </w:r>
      <w:r w:rsidR="00064CCA" w:rsidRPr="006E74A4">
        <w:t>я</w:t>
      </w:r>
      <w:r w:rsidRPr="006E74A4">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6E74A4">
        <w:t>Pr</w:t>
      </w:r>
      <w:r w:rsidRPr="006E74A4">
        <w:t>о</w:t>
      </w:r>
      <w:r w:rsidR="00F70454" w:rsidRPr="006E74A4">
        <w:t>z</w:t>
      </w:r>
      <w:r w:rsidRPr="006E74A4">
        <w:t>о</w:t>
      </w:r>
      <w:r w:rsidR="00F70454" w:rsidRPr="006E74A4">
        <w:t>rr</w:t>
      </w:r>
      <w:r w:rsidRPr="006E74A4">
        <w:t>о</w:t>
      </w:r>
      <w:proofErr w:type="spellEnd"/>
      <w:r w:rsidRPr="006E74A4">
        <w:t>» тощо.</w:t>
      </w:r>
      <w:r w:rsidR="00057AFB" w:rsidRPr="006E74A4">
        <w:t xml:space="preserve"> </w:t>
      </w:r>
      <w:r w:rsidRPr="006E74A4">
        <w:t>Відповідно до вказаної методики, очікувана вартість предмет</w:t>
      </w:r>
      <w:r w:rsidR="009E158C" w:rsidRPr="006E74A4">
        <w:t>а</w:t>
      </w:r>
      <w:r w:rsidRPr="006E74A4">
        <w:t xml:space="preserve"> закупівлі становить </w:t>
      </w:r>
      <w:r w:rsidR="006E74A4">
        <w:rPr>
          <w:b/>
          <w:color w:val="2C2931"/>
          <w:shd w:val="clear" w:color="auto" w:fill="FFFFFF"/>
        </w:rPr>
        <w:t>86</w:t>
      </w:r>
      <w:r w:rsidR="006E74A4">
        <w:rPr>
          <w:b/>
          <w:color w:val="2C2931"/>
          <w:shd w:val="clear" w:color="auto" w:fill="FFFFFF"/>
          <w:lang w:val="ru-RU"/>
        </w:rPr>
        <w:t> </w:t>
      </w:r>
      <w:r w:rsidR="006E74A4">
        <w:rPr>
          <w:b/>
          <w:color w:val="2C2931"/>
          <w:shd w:val="clear" w:color="auto" w:fill="FFFFFF"/>
        </w:rPr>
        <w:t>000</w:t>
      </w:r>
      <w:r w:rsidR="006E74A4">
        <w:rPr>
          <w:b/>
          <w:color w:val="2C2931"/>
          <w:shd w:val="clear" w:color="auto" w:fill="FFFFFF"/>
          <w:lang w:val="ru-RU"/>
        </w:rPr>
        <w:t>,</w:t>
      </w:r>
      <w:r w:rsidR="006E74A4" w:rsidRPr="006E74A4">
        <w:rPr>
          <w:b/>
          <w:color w:val="2C2931"/>
          <w:shd w:val="clear" w:color="auto" w:fill="FFFFFF"/>
        </w:rPr>
        <w:t>00</w:t>
      </w:r>
      <w:r w:rsidR="006E74A4" w:rsidRPr="006E74A4">
        <w:rPr>
          <w:b/>
        </w:rPr>
        <w:t xml:space="preserve"> </w:t>
      </w:r>
      <w:bookmarkStart w:id="0" w:name="_GoBack"/>
      <w:bookmarkEnd w:id="0"/>
      <w:r w:rsidR="005901C0" w:rsidRPr="006E74A4">
        <w:t>грн</w:t>
      </w:r>
      <w:r w:rsidR="0067200A" w:rsidRPr="006E74A4">
        <w:t xml:space="preserve"> з ПДВ</w:t>
      </w:r>
      <w:r w:rsidRPr="006E74A4">
        <w:t>, що відповідає розміру бюджетного призначення.</w:t>
      </w:r>
    </w:p>
    <w:p w14:paraId="54C5FDFB" w14:textId="77777777" w:rsidR="00F5430D" w:rsidRPr="006E74A4" w:rsidRDefault="00F5430D" w:rsidP="00F5430D">
      <w:pPr>
        <w:ind w:firstLine="426"/>
        <w:contextualSpacing/>
        <w:jc w:val="both"/>
        <w:rPr>
          <w:b/>
        </w:rPr>
      </w:pPr>
    </w:p>
    <w:p w14:paraId="77CD26D5" w14:textId="77777777" w:rsidR="00BC7695" w:rsidRPr="006E74A4" w:rsidRDefault="00BF492B" w:rsidP="00F5430D">
      <w:pPr>
        <w:ind w:firstLine="426"/>
        <w:contextualSpacing/>
        <w:jc w:val="both"/>
      </w:pPr>
      <w:r w:rsidRPr="006E74A4">
        <w:rPr>
          <w:b/>
        </w:rPr>
        <w:t>8. Застосування виключення:</w:t>
      </w:r>
      <w:r w:rsidRPr="006E74A4">
        <w:t xml:space="preserve"> не застосовується. Закупівля проводиться із застосуванням відкритих торгів з особливостями.</w:t>
      </w:r>
    </w:p>
    <w:p w14:paraId="04E9993C" w14:textId="77777777" w:rsidR="00A274EA" w:rsidRPr="006E74A4" w:rsidRDefault="00A274EA" w:rsidP="00F5430D">
      <w:pPr>
        <w:ind w:firstLine="426"/>
        <w:contextualSpacing/>
        <w:jc w:val="both"/>
      </w:pPr>
    </w:p>
    <w:sectPr w:rsidR="00A274EA" w:rsidRPr="006E74A4"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D03A4" w14:textId="77777777" w:rsidR="00111168" w:rsidRDefault="00111168">
      <w:r>
        <w:separator/>
      </w:r>
    </w:p>
  </w:endnote>
  <w:endnote w:type="continuationSeparator" w:id="0">
    <w:p w14:paraId="64130DC4" w14:textId="77777777" w:rsidR="00111168" w:rsidRDefault="00111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FE1E41" w14:textId="77777777" w:rsidR="00111168" w:rsidRDefault="00111168">
      <w:r>
        <w:separator/>
      </w:r>
    </w:p>
  </w:footnote>
  <w:footnote w:type="continuationSeparator" w:id="0">
    <w:p w14:paraId="08FD3C8B" w14:textId="77777777" w:rsidR="00111168" w:rsidRDefault="00111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6">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7">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9">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345E3E09"/>
    <w:multiLevelType w:val="hybridMultilevel"/>
    <w:tmpl w:val="3A4CFCA2"/>
    <w:lvl w:ilvl="0" w:tplc="7CE0006A">
      <w:start w:val="7"/>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1">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5">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4E1B2705"/>
    <w:multiLevelType w:val="multilevel"/>
    <w:tmpl w:val="81A044DE"/>
    <w:lvl w:ilvl="0">
      <w:start w:val="1"/>
      <w:numFmt w:val="decimal"/>
      <w:lvlText w:val="%1."/>
      <w:lvlJc w:val="left"/>
      <w:pPr>
        <w:ind w:left="390" w:hanging="390"/>
      </w:pPr>
      <w:rPr>
        <w:rFonts w:hint="default"/>
        <w:b w:val="0"/>
        <w:color w:val="000000"/>
      </w:rPr>
    </w:lvl>
    <w:lvl w:ilvl="1">
      <w:start w:val="1"/>
      <w:numFmt w:val="decimal"/>
      <w:lvlText w:val="%1.%2."/>
      <w:lvlJc w:val="left"/>
      <w:pPr>
        <w:ind w:left="5115" w:hanging="720"/>
      </w:pPr>
      <w:rPr>
        <w:rFonts w:hint="default"/>
        <w:b w:val="0"/>
        <w:color w:val="000000"/>
      </w:rPr>
    </w:lvl>
    <w:lvl w:ilvl="2">
      <w:start w:val="1"/>
      <w:numFmt w:val="decimal"/>
      <w:lvlText w:val="%1.%2.%3."/>
      <w:lvlJc w:val="left"/>
      <w:pPr>
        <w:ind w:left="6480" w:hanging="720"/>
      </w:pPr>
      <w:rPr>
        <w:rFonts w:hint="default"/>
        <w:color w:val="000000"/>
      </w:rPr>
    </w:lvl>
    <w:lvl w:ilvl="3">
      <w:start w:val="1"/>
      <w:numFmt w:val="decimal"/>
      <w:lvlText w:val="%1.%2.%3.%4."/>
      <w:lvlJc w:val="left"/>
      <w:pPr>
        <w:ind w:left="9720" w:hanging="1080"/>
      </w:pPr>
      <w:rPr>
        <w:rFonts w:hint="default"/>
        <w:color w:val="000000"/>
      </w:rPr>
    </w:lvl>
    <w:lvl w:ilvl="4">
      <w:start w:val="1"/>
      <w:numFmt w:val="decimal"/>
      <w:lvlText w:val="%1.%2.%3.%4.%5."/>
      <w:lvlJc w:val="left"/>
      <w:pPr>
        <w:ind w:left="12600" w:hanging="1080"/>
      </w:pPr>
      <w:rPr>
        <w:rFonts w:hint="default"/>
        <w:color w:val="000000"/>
      </w:rPr>
    </w:lvl>
    <w:lvl w:ilvl="5">
      <w:start w:val="1"/>
      <w:numFmt w:val="decimal"/>
      <w:lvlText w:val="%1.%2.%3.%4.%5.%6."/>
      <w:lvlJc w:val="left"/>
      <w:pPr>
        <w:ind w:left="15840" w:hanging="1440"/>
      </w:pPr>
      <w:rPr>
        <w:rFonts w:hint="default"/>
        <w:color w:val="000000"/>
      </w:rPr>
    </w:lvl>
    <w:lvl w:ilvl="6">
      <w:start w:val="1"/>
      <w:numFmt w:val="decimal"/>
      <w:lvlText w:val="%1.%2.%3.%4.%5.%6.%7."/>
      <w:lvlJc w:val="left"/>
      <w:pPr>
        <w:ind w:left="18720" w:hanging="1440"/>
      </w:pPr>
      <w:rPr>
        <w:rFonts w:hint="default"/>
        <w:color w:val="000000"/>
      </w:rPr>
    </w:lvl>
    <w:lvl w:ilvl="7">
      <w:start w:val="1"/>
      <w:numFmt w:val="decimal"/>
      <w:lvlText w:val="%1.%2.%3.%4.%5.%6.%7.%8."/>
      <w:lvlJc w:val="left"/>
      <w:pPr>
        <w:ind w:left="21960" w:hanging="1800"/>
      </w:pPr>
      <w:rPr>
        <w:rFonts w:hint="default"/>
        <w:color w:val="000000"/>
      </w:rPr>
    </w:lvl>
    <w:lvl w:ilvl="8">
      <w:start w:val="1"/>
      <w:numFmt w:val="decimal"/>
      <w:lvlText w:val="%1.%2.%3.%4.%5.%6.%7.%8.%9."/>
      <w:lvlJc w:val="left"/>
      <w:pPr>
        <w:ind w:left="24840" w:hanging="1800"/>
      </w:pPr>
      <w:rPr>
        <w:rFonts w:hint="default"/>
        <w:color w:val="000000"/>
      </w:rPr>
    </w:lvl>
  </w:abstractNum>
  <w:abstractNum w:abstractNumId="31">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5">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2">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3">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4">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5">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6">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4"/>
  </w:num>
  <w:num w:numId="2">
    <w:abstractNumId w:val="13"/>
  </w:num>
  <w:num w:numId="3">
    <w:abstractNumId w:val="37"/>
  </w:num>
  <w:num w:numId="4">
    <w:abstractNumId w:val="22"/>
  </w:num>
  <w:num w:numId="5">
    <w:abstractNumId w:val="3"/>
  </w:num>
  <w:num w:numId="6">
    <w:abstractNumId w:val="2"/>
  </w:num>
  <w:num w:numId="7">
    <w:abstractNumId w:val="44"/>
  </w:num>
  <w:num w:numId="8">
    <w:abstractNumId w:val="7"/>
  </w:num>
  <w:num w:numId="9">
    <w:abstractNumId w:val="8"/>
  </w:num>
  <w:num w:numId="10">
    <w:abstractNumId w:val="23"/>
  </w:num>
  <w:num w:numId="11">
    <w:abstractNumId w:val="35"/>
  </w:num>
  <w:num w:numId="12">
    <w:abstractNumId w:val="32"/>
  </w:num>
  <w:num w:numId="13">
    <w:abstractNumId w:val="40"/>
  </w:num>
  <w:num w:numId="14">
    <w:abstractNumId w:val="26"/>
  </w:num>
  <w:num w:numId="15">
    <w:abstractNumId w:val="5"/>
  </w:num>
  <w:num w:numId="16">
    <w:abstractNumId w:val="4"/>
  </w:num>
  <w:num w:numId="17">
    <w:abstractNumId w:val="27"/>
  </w:num>
  <w:num w:numId="18">
    <w:abstractNumId w:val="41"/>
  </w:num>
  <w:num w:numId="19">
    <w:abstractNumId w:val="24"/>
  </w:num>
  <w:num w:numId="20">
    <w:abstractNumId w:val="42"/>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25"/>
  </w:num>
  <w:num w:numId="24">
    <w:abstractNumId w:val="38"/>
  </w:num>
  <w:num w:numId="25">
    <w:abstractNumId w:val="28"/>
  </w:num>
  <w:num w:numId="26">
    <w:abstractNumId w:val="36"/>
  </w:num>
  <w:num w:numId="27">
    <w:abstractNumId w:val="29"/>
  </w:num>
  <w:num w:numId="28">
    <w:abstractNumId w:val="47"/>
  </w:num>
  <w:num w:numId="29">
    <w:abstractNumId w:val="15"/>
  </w:num>
  <w:num w:numId="30">
    <w:abstractNumId w:val="31"/>
  </w:num>
  <w:num w:numId="31">
    <w:abstractNumId w:val="39"/>
  </w:num>
  <w:num w:numId="32">
    <w:abstractNumId w:val="43"/>
  </w:num>
  <w:num w:numId="33">
    <w:abstractNumId w:val="46"/>
  </w:num>
  <w:num w:numId="34">
    <w:abstractNumId w:val="33"/>
  </w:num>
  <w:num w:numId="35">
    <w:abstractNumId w:val="10"/>
  </w:num>
  <w:num w:numId="36">
    <w:abstractNumId w:val="11"/>
  </w:num>
  <w:num w:numId="37">
    <w:abstractNumId w:val="19"/>
  </w:num>
  <w:num w:numId="38">
    <w:abstractNumId w:val="9"/>
  </w:num>
  <w:num w:numId="39">
    <w:abstractNumId w:val="21"/>
  </w:num>
  <w:num w:numId="40">
    <w:abstractNumId w:val="45"/>
  </w:num>
  <w:num w:numId="41">
    <w:abstractNumId w:val="18"/>
  </w:num>
  <w:num w:numId="42">
    <w:abstractNumId w:val="6"/>
  </w:num>
  <w:num w:numId="43">
    <w:abstractNumId w:val="14"/>
  </w:num>
  <w:num w:numId="44">
    <w:abstractNumId w:val="20"/>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1168"/>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E74A4"/>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4817</Words>
  <Characters>2747</Characters>
  <Application>Microsoft Office Word</Application>
  <DocSecurity>0</DocSecurity>
  <Lines>22</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2026-03-23T12:52:00Z</dcterms:modified>
</cp:coreProperties>
</file>