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 можливі розбіжності у даних зовнішньої торгівлі товарами та послугами, які оприлюднюються Держстатом, </w:t>
      </w:r>
      <w:r w:rsidDel="00000000" w:rsidR="00000000" w:rsidRPr="00000000">
        <w:rPr>
          <w:rFonts w:ascii="Times New Roman" w:cs="Times New Roman" w:eastAsia="Times New Roman" w:hAnsi="Times New Roman"/>
          <w:b w:val="1"/>
          <w:sz w:val="28"/>
          <w:szCs w:val="28"/>
          <w:rtl w:val="0"/>
        </w:rPr>
        <w:t xml:space="preserve">Держмитслужбою та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Національним банком України</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сайті Державної служби статистики України  розміщено роз'яснення щодо можливих розбіжностей у даних зовнішньої торгівлі товарами та послугами, які оприлюднюються Державною службою статистики України, Державною </w:t>
      </w:r>
      <w:r w:rsidDel="00000000" w:rsidR="00000000" w:rsidRPr="00000000">
        <w:rPr>
          <w:rFonts w:ascii="Times New Roman" w:cs="Times New Roman" w:eastAsia="Times New Roman" w:hAnsi="Times New Roman"/>
          <w:sz w:val="28"/>
          <w:szCs w:val="28"/>
          <w:rtl w:val="0"/>
        </w:rPr>
        <w:t xml:space="preserve">митною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службою України та Національним банком України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http://www.ukrstat.gov.ua/metod_polog/metod_doc/2015/roz_zt/roz_zt.zip</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зазначеному роз'ясненні, зокрема, зазначено наступне.</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зовнішньої торгівлі товарами, які оприлюднює Державна </w:t>
      </w:r>
      <w:r w:rsidDel="00000000" w:rsidR="00000000" w:rsidRPr="00000000">
        <w:rPr>
          <w:rFonts w:ascii="Times New Roman" w:cs="Times New Roman" w:eastAsia="Times New Roman" w:hAnsi="Times New Roman"/>
          <w:sz w:val="28"/>
          <w:szCs w:val="28"/>
          <w:rtl w:val="0"/>
        </w:rPr>
        <w:t xml:space="preserve">митна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служба, підготовлені на основі даних митних декларацій, поданих декларантами до митних органів при переміщенні товарів через митний кордон України.</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Державної </w:t>
      </w:r>
      <w:r w:rsidDel="00000000" w:rsidR="00000000" w:rsidRPr="00000000">
        <w:rPr>
          <w:rFonts w:ascii="Times New Roman" w:cs="Times New Roman" w:eastAsia="Times New Roman" w:hAnsi="Times New Roman"/>
          <w:sz w:val="28"/>
          <w:szCs w:val="28"/>
          <w:rtl w:val="0"/>
        </w:rPr>
        <w:t xml:space="preserve">митної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служби Держстат доповнює даними державної статистичної звітності (щодо товарів, придбаних у портах, та товарів, які не проходять митного декларування) та коригує за обсягами нафти сирої та газу природного.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Статті "Товари" та "Послуги" зовнішньоторговельного балансу та однойменні показники платіжного балансу мають різну методологічну основу, яка відповідає затвердженим міжнародним стандартам. Ведення зовнішньої торгівлі товарами здійснюється згідно з методологічними рекомендаціями Статистичного відділу ООН "Керівництво зі статистики міжнародної торгівлі товарами" та статистики зовнішньої торгівлі послугами – "Керівництво зі статистики міжнародної торгівлі послугами", складання платіжного балансу – відповідно до "Керівництва з платіжного балансу і міжнародної інвестиційної позиції" (МВФ, шосте видання, 2009 р.). Існування розбіжностей між даними Держстату та Національного банку пов'язано з різницею методологічних підходів (у частині охоплення та класифікації), використанням різних джерел інформації.</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Товари.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Інформаційний масив даних із зовнішньої торгівлі товарами, який Національний банк України отримує від Держстату, коригується за ступенем охоплення (урахування обсягів неформальної торгівлі) та класифікацією (виключення товарів для переробки та перерахунок імпорту товарів з цін CIF до цін FOB).</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 платіжному балансі в статті "Товари" враховується експертна оцінка обсягів неформальної торгівлі, які не включені в офіційну статистику зовнішньої торгівлі товарами.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Загальна сума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імпорту товарів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 статті "Імпорт товарів" платіжного балансу зменшується на суму вартості транспортування до кордону України та страхування вантажів при одночасному збільшенні на цей же обсяг вартості імпорту послуг. Обсяги експорту та імпорту товарів також зменшуються на величину вартості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товарів для переробки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Послуги.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Головними джерелами інформації для складання статті "Послуги" платіжного балансу є дані банківської звітності про операції з нерезидентами (International Transactions reporting System) і дані квартальної статистичної звітності Держстату про експорт-імпорт послуг. Для оцінки обсягів окремих видів послуг додатково здійснюються такі розрахунки:</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обсяги імпорту послуг із транспортування коригуються на величину витрат на транспортування до кордону України та страхування вантажів за виключенням вартості послуг, наданих компаніями-резидентами;</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обсяги експорту-імпорту послуг за статтею "Подорожі" розраховуються на підставі спеціальної методики, що  розроблена фахівцями НБУ;</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обсяги експорту-імпорту страхових послуг розраховуються за власною методикою Національного банку;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формування статті "Державні послуги" здійснюється з урахуванням даних щодо платежів за послуги дипломатичних та консульських установ, що надходять в Україну.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Методологічні роз'яснення формування платіжного балансу, огляд основних змін у методології розміщені на сайті Національного банку: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www.bank.gov.ua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розділі "Статистика".</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складання національних рахунків Держстат використовує дані щодо зовнішньої торгівлі товарами та послугами, наведені у платіжному балансі.</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737" w:top="794"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720" w:firstLineChars="-1"/>
      <w:jc w:val="both"/>
      <w:textDirection w:val="btLr"/>
      <w:textAlignment w:val="top"/>
      <w:outlineLvl w:val="0"/>
    </w:pPr>
    <w:rPr>
      <w:rFonts w:ascii="Times New Roman" w:eastAsia="Times New Roman" w:hAnsi="Times New Roman"/>
      <w:i w:val="1"/>
      <w:w w:val="100"/>
      <w:position w:val="-1"/>
      <w:sz w:val="28"/>
      <w:effect w:val="none"/>
      <w:vertAlign w:val="baseline"/>
      <w:cs w:val="0"/>
      <w:em w:val="none"/>
      <w:lang w:bidi="ar-SA" w:eastAsia="ru-RU" w:val="en-US"/>
    </w:rPr>
  </w:style>
  <w:style w:type="character" w:styleId="ЗнакЗнак1">
    <w:name w:val="Знак Знак1"/>
    <w:next w:val="ЗнакЗнак1"/>
    <w:autoRedefine w:val="0"/>
    <w:hidden w:val="0"/>
    <w:qFormat w:val="0"/>
    <w:rPr>
      <w:rFonts w:ascii="Times New Roman" w:cs="Times New Roman" w:hAnsi="Times New Roman"/>
      <w:i w:val="1"/>
      <w:w w:val="100"/>
      <w:position w:val="-1"/>
      <w:sz w:val="20"/>
      <w:szCs w:val="20"/>
      <w:effect w:val="none"/>
      <w:vertAlign w:val="baseline"/>
      <w:cs w:val="0"/>
      <w:em w:val="none"/>
      <w:lang w:eastAsia="ru-RU" w:val="en-US"/>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eastAsia="Times New Roman" w:hAnsi="Segoe UI"/>
      <w:w w:val="100"/>
      <w:position w:val="-1"/>
      <w:sz w:val="18"/>
      <w:szCs w:val="18"/>
      <w:effect w:val="none"/>
      <w:vertAlign w:val="baseline"/>
      <w:cs w:val="0"/>
      <w:em w:val="none"/>
      <w:lang w:bidi="ar-SA" w:eastAsia="ru-RU" w:val="ru-RU"/>
    </w:rPr>
  </w:style>
  <w:style w:type="character" w:styleId="ЗнакЗнак">
    <w:name w:val="Знак Знак"/>
    <w:next w:val="ЗнакЗнак"/>
    <w:autoRedefine w:val="0"/>
    <w:hidden w:val="0"/>
    <w:qFormat w:val="0"/>
    <w:rPr>
      <w:rFonts w:ascii="Segoe UI" w:cs="Segoe UI" w:hAnsi="Segoe UI"/>
      <w:w w:val="100"/>
      <w:position w:val="-1"/>
      <w:sz w:val="18"/>
      <w:szCs w:val="18"/>
      <w:effect w:val="none"/>
      <w:vertAlign w:val="baseline"/>
      <w:cs w:val="0"/>
      <w:em w:val="none"/>
      <w:lang w:eastAsia="ru-RU" w:val="ru-RU"/>
    </w:r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krstat.gov.ua/metod_polog/metod_doc/2015/roz_zt/roz_zt.zip" TargetMode="External"/><Relationship Id="rId8" Type="http://schemas.openxmlformats.org/officeDocument/2006/relationships/hyperlink" Target="http://www.ban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YxXyemGsNqPwEysG/jFWy9jgqQ==">AMUW2mVL0qia3u/BXz8/Z8wo4pEyxOxqfnI9M0ZbDedFto72mKSyjou4jH/WJfAvWut6LO13vbCPs1qaYjMk78cIX1w5WXJynCrbd4610OOjeX9HqtpvWqc=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2017-08-10T09:06:00Z</dcterms:created>
  <dc:creator>L.Matronich</dc:creator>
</cp:coreProperties>
</file>

<file path=docProps/custom.xml><?xml version="1.0" encoding="utf-8"?>
<Properties xmlns="http://schemas.openxmlformats.org/officeDocument/2006/custom-properties" xmlns:vt="http://schemas.openxmlformats.org/officeDocument/2006/docPropsVTypes"/>
</file>