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Про можливі розбіжності у даних зовнішньої торгівлі товарами та послугами, які оприлюднюються Держстатом, </w:t>
      </w:r>
      <w:r w:rsidDel="00000000" w:rsidR="00000000" w:rsidRPr="00000000">
        <w:rPr>
          <w:rFonts w:ascii="Times New Roman" w:cs="Times New Roman" w:eastAsia="Times New Roman" w:hAnsi="Times New Roman"/>
          <w:b w:val="1"/>
          <w:sz w:val="28"/>
          <w:szCs w:val="28"/>
          <w:rtl w:val="0"/>
        </w:rPr>
        <w:t xml:space="preserve">Держмитслужбою та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Національним банком України</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сайті Державної служби статистики України  розміщено роз'яснення щодо можливих розбіжностей у даних зовнішньої торгівлі товарами та послугами, які оприлюднюються Державною службою статистики України, Державною </w:t>
      </w:r>
      <w:r w:rsidDel="00000000" w:rsidR="00000000" w:rsidRPr="00000000">
        <w:rPr>
          <w:rFonts w:ascii="Times New Roman" w:cs="Times New Roman" w:eastAsia="Times New Roman" w:hAnsi="Times New Roman"/>
          <w:sz w:val="28"/>
          <w:szCs w:val="28"/>
          <w:rtl w:val="0"/>
        </w:rPr>
        <w:t xml:space="preserve">митною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службою України та Національним банком України (</w:t>
      </w:r>
      <w:hyperlink r:id="rId7">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http://www.ukrstat.gov.ua/metod_polog/metod_doc/2015/roz_zt/roz_zt.zip</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зазначеному роз'ясненні, зокрема, зазначено наступне.</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Дані зовнішньої торгівлі товарами, які оприлюднює Державна </w:t>
      </w:r>
      <w:r w:rsidDel="00000000" w:rsidR="00000000" w:rsidRPr="00000000">
        <w:rPr>
          <w:rFonts w:ascii="Times New Roman" w:cs="Times New Roman" w:eastAsia="Times New Roman" w:hAnsi="Times New Roman"/>
          <w:sz w:val="28"/>
          <w:szCs w:val="28"/>
          <w:rtl w:val="0"/>
        </w:rPr>
        <w:t xml:space="preserve">митна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служба, підготовлені на основі даних митних декларацій, поданих декларантами до митних органів при переміщенні товарів через митний кордон України.</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6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Дані Державної </w:t>
      </w:r>
      <w:r w:rsidDel="00000000" w:rsidR="00000000" w:rsidRPr="00000000">
        <w:rPr>
          <w:rFonts w:ascii="Times New Roman" w:cs="Times New Roman" w:eastAsia="Times New Roman" w:hAnsi="Times New Roman"/>
          <w:sz w:val="28"/>
          <w:szCs w:val="28"/>
          <w:rtl w:val="0"/>
        </w:rPr>
        <w:t xml:space="preserve">митної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служби Держстат доповнює даними державної статистичної звітності (щодо товарів, придбаних у портах, та товарів, які не проходять митного декларування) та коригує за обсягами нафти сирої та газу природного.  </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Статті "Товари" та "Послуги" зовнішньоторговельного балансу та однойменні показники платіжного балансу мають різну методологічну основу, яка відповідає затвердженим міжнародним стандартам. Ведення зовнішньої торгівлі товарами здійснюється згідно з методологічними рекомендаціями Статистичного відділу ООН "Керівництво зі статистики міжнародної торгівлі товарами" та статистики зовнішньої торгівлі послугами – "Керівництво зі статистики міжнародної торгівлі послугами", складання платіжного балансу – відповідно до "Керівництва з платіжного балансу і міжнародної інвестиційної позиції" (МВФ, шосте видання, 2009 р.). Існування розбіжностей між даними Держстату та Національного банку пов'язано з різницею методологічних підходів (у частині охоплення та класифікації), використанням різних джерел інформації.</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Товари.</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Інформаційний масив даних із зовнішньої торгівлі товарами, який Національний банк України отримує від Держстату, коригується за ступенем охоплення (урахування обсягів неформальної торгівлі) та класифікацією (виключення товарів для переробки та перерахунок імпорту товарів з цін CIF до цін FOB).</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720"/>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У платіжному балансі в статті "Товари" враховується експертна оцінка обсягів неформальної торгівлі, які не включені в офіційну статистику зовнішньої торгівлі товарами.</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Загальна сума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імпорту товарів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у статті "Імпорт товарів" платіжного балансу зменшується на суму вартості транспортування до кордону України та страхування вантажів при одночасному збільшенні на цей же обсяг вартості імпорту послуг. Обсяги експорту та імпорту товарів також зменшуються на величину вартості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товарів для переробки</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Послуги.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Головними джерелами інформації для складання статті "Послуги" платіжного балансу є дані банківської звітності про операції з нерезидентами (International Transactions reporting System) і дані квартальної статистичної звітності Держстату про експорт-імпорт послуг. Для оцінки обсягів окремих видів послуг додатково здійснюються такі розрахунки:</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обсяги імпорту послуг із транспортування коригуються на величину витрат на транспортування до кордону України та страхування вантажів за виключенням вартості послуг, наданих компаніями-резидентами;</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обсяги експорту-імпорту послуг за статтею "Подорожі" розраховуються на підставі спеціальної методики, що  розроблена фахівцями НБУ;</w:t>
      </w: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обсяги експорту-імпорту страхових послуг розраховуються за власною методикою Національного банку; </w:t>
      </w: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формування статті "Державні послуги" здійснюється з урахуванням даних щодо платежів за послуги дипломатичних та консульських установ, що надходять в Україну. </w:t>
      </w: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Методологічні роз'яснення формування платіжного балансу, огляд основних змін у методології розміщені на сайті Національного банку: (</w:t>
      </w:r>
      <w:hyperlink r:id="rId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www.bank.gov.ua</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 розділі "Статистика".</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складання національних рахунків Держстат використовує дані щодо зовнішньої торгівлі товарами та послугами, наведені у платіжному балансі.</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sectPr>
      <w:pgSz w:h="16838" w:w="11906" w:orient="portrait"/>
      <w:pgMar w:bottom="737" w:top="794" w:left="1418"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effect w:val="none"/>
      <w:vertAlign w:val="baseline"/>
      <w:cs w:val="0"/>
      <w:em w:val="none"/>
      <w:lang w:bidi="ar-SA" w:eastAsia="ru-RU" w:val="ru-RU"/>
    </w:rPr>
  </w:style>
  <w:style w:type="character" w:styleId="Основнойшрифтабзаца">
    <w:name w:val="Основной шрифт абзаца"/>
    <w:next w:val="Основнойшрифтабзаца"/>
    <w:autoRedefine w:val="0"/>
    <w:hidden w:val="0"/>
    <w:qFormat w:val="1"/>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1"/>
    <w:pPr>
      <w:suppressAutoHyphens w:val="1"/>
      <w:spacing w:line="1" w:lineRule="atLeast"/>
      <w:ind w:leftChars="-1" w:rightChars="0" w:firstLineChars="-1"/>
      <w:textDirection w:val="btLr"/>
      <w:textAlignment w:val="top"/>
      <w:outlineLvl w:val="0"/>
    </w:pPr>
  </w:style>
  <w:style w:type="paragraph" w:styleId="Основнойтекстсотступом2">
    <w:name w:val="Основной текст с отступом 2"/>
    <w:basedOn w:val="Обычный"/>
    <w:next w:val="Основнойтекстсотступом2"/>
    <w:autoRedefine w:val="0"/>
    <w:hidden w:val="0"/>
    <w:qFormat w:val="0"/>
    <w:pPr>
      <w:suppressAutoHyphens w:val="1"/>
      <w:spacing w:line="1" w:lineRule="atLeast"/>
      <w:ind w:leftChars="-1" w:rightChars="0" w:firstLine="720" w:firstLineChars="-1"/>
      <w:jc w:val="both"/>
      <w:textDirection w:val="btLr"/>
      <w:textAlignment w:val="top"/>
      <w:outlineLvl w:val="0"/>
    </w:pPr>
    <w:rPr>
      <w:rFonts w:ascii="Times New Roman" w:eastAsia="Times New Roman" w:hAnsi="Times New Roman"/>
      <w:i w:val="1"/>
      <w:w w:val="100"/>
      <w:position w:val="-1"/>
      <w:sz w:val="28"/>
      <w:effect w:val="none"/>
      <w:vertAlign w:val="baseline"/>
      <w:cs w:val="0"/>
      <w:em w:val="none"/>
      <w:lang w:bidi="ar-SA" w:eastAsia="ru-RU" w:val="en-US"/>
    </w:rPr>
  </w:style>
  <w:style w:type="character" w:styleId="ЗнакЗнак1">
    <w:name w:val="Знак Знак1"/>
    <w:next w:val="ЗнакЗнак1"/>
    <w:autoRedefine w:val="0"/>
    <w:hidden w:val="0"/>
    <w:qFormat w:val="0"/>
    <w:rPr>
      <w:rFonts w:ascii="Times New Roman" w:cs="Times New Roman" w:hAnsi="Times New Roman"/>
      <w:i w:val="1"/>
      <w:w w:val="100"/>
      <w:position w:val="-1"/>
      <w:sz w:val="20"/>
      <w:szCs w:val="20"/>
      <w:effect w:val="none"/>
      <w:vertAlign w:val="baseline"/>
      <w:cs w:val="0"/>
      <w:em w:val="none"/>
      <w:lang w:eastAsia="ru-RU" w:val="en-US"/>
    </w:rPr>
  </w:style>
  <w:style w:type="paragraph" w:styleId="Текствыноски">
    <w:name w:val="Текст выноски"/>
    <w:basedOn w:val="Обычный"/>
    <w:next w:val="Текствыноски"/>
    <w:autoRedefine w:val="0"/>
    <w:hidden w:val="0"/>
    <w:qFormat w:val="0"/>
    <w:pPr>
      <w:suppressAutoHyphens w:val="1"/>
      <w:spacing w:line="1" w:lineRule="atLeast"/>
      <w:ind w:leftChars="-1" w:rightChars="0" w:firstLineChars="-1"/>
      <w:textDirection w:val="btLr"/>
      <w:textAlignment w:val="top"/>
      <w:outlineLvl w:val="0"/>
    </w:pPr>
    <w:rPr>
      <w:rFonts w:ascii="Segoe UI" w:cs="Segoe UI" w:eastAsia="Times New Roman" w:hAnsi="Segoe UI"/>
      <w:w w:val="100"/>
      <w:position w:val="-1"/>
      <w:sz w:val="18"/>
      <w:szCs w:val="18"/>
      <w:effect w:val="none"/>
      <w:vertAlign w:val="baseline"/>
      <w:cs w:val="0"/>
      <w:em w:val="none"/>
      <w:lang w:bidi="ar-SA" w:eastAsia="ru-RU" w:val="ru-RU"/>
    </w:rPr>
  </w:style>
  <w:style w:type="character" w:styleId="ЗнакЗнак">
    <w:name w:val="Знак Знак"/>
    <w:next w:val="ЗнакЗнак"/>
    <w:autoRedefine w:val="0"/>
    <w:hidden w:val="0"/>
    <w:qFormat w:val="0"/>
    <w:rPr>
      <w:rFonts w:ascii="Segoe UI" w:cs="Segoe UI" w:hAnsi="Segoe UI"/>
      <w:w w:val="100"/>
      <w:position w:val="-1"/>
      <w:sz w:val="18"/>
      <w:szCs w:val="18"/>
      <w:effect w:val="none"/>
      <w:vertAlign w:val="baseline"/>
      <w:cs w:val="0"/>
      <w:em w:val="none"/>
      <w:lang w:eastAsia="ru-RU" w:val="ru-RU"/>
    </w:rPr>
  </w:style>
  <w:style w:type="paragraph" w:styleId="Абзацсписка">
    <w:name w:val="Абзац списка"/>
    <w:basedOn w:val="Обычный"/>
    <w:next w:val="Абзацсписка"/>
    <w:autoRedefine w:val="0"/>
    <w:hidden w:val="0"/>
    <w:qFormat w:val="0"/>
    <w:pPr>
      <w:suppressAutoHyphens w:val="1"/>
      <w:spacing w:line="1" w:lineRule="atLeast"/>
      <w:ind w:left="720" w:leftChars="-1" w:rightChars="0" w:firstLineChars="-1"/>
      <w:contextualSpacing w:val="1"/>
      <w:textDirection w:val="btLr"/>
      <w:textAlignment w:val="top"/>
      <w:outlineLvl w:val="0"/>
    </w:pPr>
    <w:rPr>
      <w:rFonts w:ascii="Times New Roman" w:eastAsia="Times New Roman" w:hAnsi="Times New Roman"/>
      <w:w w:val="100"/>
      <w:position w:val="-1"/>
      <w:effect w:val="none"/>
      <w:vertAlign w:val="baseline"/>
      <w:cs w:val="0"/>
      <w:em w:val="none"/>
      <w:lang w:bidi="ar-SA" w:eastAsia="ru-RU" w:val="ru-RU"/>
    </w:rPr>
  </w:style>
  <w:style w:type="character" w:styleId="Гиперссылка">
    <w:name w:val="Гиперссылка"/>
    <w:next w:val="Гиперссылка"/>
    <w:autoRedefine w:val="0"/>
    <w:hidden w:val="0"/>
    <w:qFormat w:val="0"/>
    <w:rPr>
      <w:color w:val="0000ff"/>
      <w:w w:val="100"/>
      <w:position w:val="-1"/>
      <w:u w:val="single"/>
      <w:effect w:val="none"/>
      <w:vertAlign w:val="baseline"/>
      <w:cs w:val="0"/>
      <w:em w:val="none"/>
      <w:lang/>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ukrstat.gov.ua/metod_polog/metod_doc/2015/roz_zt/roz_zt.zip" TargetMode="External"/><Relationship Id="rId8" Type="http://schemas.openxmlformats.org/officeDocument/2006/relationships/hyperlink" Target="http://www.bank.go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YxXyemGsNqPwEysG/jFWy9jgqQ==">AMUW2mVL0qia3u/BXz8/Z8wo4pEyxOxqfnI9M0ZbDedFto72mKSyjou4jH/WJfAvWut6LO13vbCPs1qaYjMk78cIX1w5WXJynCrbd4610OOjeX9HqtpvWqc=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2017-08-10T09:06:00Z</dcterms:created>
  <dc:creator>L.Matronich</dc:creator>
</cp:coreProperties>
</file>

<file path=docProps/custom.xml><?xml version="1.0" encoding="utf-8"?>
<Properties xmlns="http://schemas.openxmlformats.org/officeDocument/2006/custom-properties" xmlns:vt="http://schemas.openxmlformats.org/officeDocument/2006/docPropsVTypes"/>
</file>