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0D36A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6"/>
          <w:szCs w:val="26"/>
        </w:rPr>
      </w:pPr>
      <w:r w:rsidRPr="000D36A4">
        <w:rPr>
          <w:rStyle w:val="a6"/>
          <w:bCs/>
          <w:sz w:val="26"/>
          <w:szCs w:val="26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0D36A4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6"/>
          <w:szCs w:val="26"/>
          <w:u w:val="single"/>
          <w:lang w:eastAsia="uk-UA"/>
        </w:rPr>
      </w:pPr>
      <w:r w:rsidRPr="000D36A4">
        <w:rPr>
          <w:rStyle w:val="a6"/>
          <w:b/>
          <w:bCs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D36A4">
        <w:rPr>
          <w:rStyle w:val="a6"/>
          <w:b/>
          <w:bCs/>
          <w:sz w:val="26"/>
          <w:szCs w:val="26"/>
          <w:u w:val="single"/>
        </w:rPr>
        <w:t>Держмитслужба м. Київ , вул. Дегтярівська, 11г, ЄДРПОУ 43115923.</w:t>
      </w:r>
    </w:p>
    <w:p w:rsidR="005527AD" w:rsidRPr="000D36A4" w:rsidRDefault="005527AD" w:rsidP="005527AD">
      <w:pPr>
        <w:widowControl w:val="0"/>
        <w:jc w:val="both"/>
        <w:rPr>
          <w:sz w:val="26"/>
          <w:szCs w:val="26"/>
        </w:rPr>
      </w:pPr>
      <w:r w:rsidRPr="000D36A4">
        <w:rPr>
          <w:b/>
          <w:sz w:val="26"/>
          <w:szCs w:val="26"/>
        </w:rPr>
        <w:t>Вид та ідентифікатор процедури закупівлі</w:t>
      </w:r>
      <w:r w:rsidRPr="00B50CD5">
        <w:rPr>
          <w:b/>
          <w:bCs/>
          <w:sz w:val="26"/>
          <w:szCs w:val="26"/>
        </w:rPr>
        <w:t>:</w:t>
      </w:r>
      <w:r w:rsidRPr="00B50CD5">
        <w:rPr>
          <w:sz w:val="26"/>
          <w:szCs w:val="26"/>
        </w:rPr>
        <w:t xml:space="preserve"> </w:t>
      </w:r>
      <w:r w:rsidRPr="00E06E3C">
        <w:rPr>
          <w:sz w:val="26"/>
          <w:szCs w:val="26"/>
          <w:u w:val="single"/>
          <w:lang w:val="en-US"/>
        </w:rPr>
        <w:t>UA</w:t>
      </w:r>
      <w:r w:rsidRPr="00E06E3C">
        <w:rPr>
          <w:sz w:val="26"/>
          <w:szCs w:val="26"/>
          <w:u w:val="single"/>
          <w:lang w:val="ru-RU"/>
        </w:rPr>
        <w:t>-20</w:t>
      </w:r>
      <w:r w:rsidR="000D36A4" w:rsidRPr="00E06E3C">
        <w:rPr>
          <w:sz w:val="26"/>
          <w:szCs w:val="26"/>
          <w:u w:val="single"/>
          <w:lang w:val="ru-RU"/>
        </w:rPr>
        <w:t>2</w:t>
      </w:r>
      <w:r w:rsidR="00E06E3C" w:rsidRPr="00E06E3C">
        <w:rPr>
          <w:sz w:val="26"/>
          <w:szCs w:val="26"/>
          <w:u w:val="single"/>
          <w:lang w:val="ru-RU"/>
        </w:rPr>
        <w:t>6</w:t>
      </w:r>
      <w:r w:rsidRPr="00E06E3C">
        <w:rPr>
          <w:sz w:val="26"/>
          <w:szCs w:val="26"/>
          <w:u w:val="single"/>
          <w:lang w:val="ru-RU"/>
        </w:rPr>
        <w:t>-</w:t>
      </w:r>
      <w:r w:rsidR="00E06E3C" w:rsidRPr="00E06E3C">
        <w:rPr>
          <w:sz w:val="26"/>
          <w:szCs w:val="26"/>
          <w:u w:val="single"/>
        </w:rPr>
        <w:t>04</w:t>
      </w:r>
      <w:r w:rsidRPr="00E06E3C">
        <w:rPr>
          <w:sz w:val="26"/>
          <w:szCs w:val="26"/>
          <w:u w:val="single"/>
          <w:lang w:val="ru-RU"/>
        </w:rPr>
        <w:t>-</w:t>
      </w:r>
      <w:r w:rsidR="00E06E3C" w:rsidRPr="00E06E3C">
        <w:rPr>
          <w:sz w:val="26"/>
          <w:szCs w:val="26"/>
          <w:u w:val="single"/>
        </w:rPr>
        <w:t>08</w:t>
      </w:r>
      <w:r w:rsidRPr="00E06E3C">
        <w:rPr>
          <w:sz w:val="26"/>
          <w:szCs w:val="26"/>
          <w:u w:val="single"/>
          <w:lang w:val="ru-RU"/>
        </w:rPr>
        <w:t>-</w:t>
      </w:r>
      <w:r w:rsidR="00E06E3C" w:rsidRPr="00E06E3C">
        <w:rPr>
          <w:sz w:val="26"/>
          <w:szCs w:val="26"/>
          <w:u w:val="single"/>
          <w:lang w:val="ru-RU"/>
        </w:rPr>
        <w:t>012306</w:t>
      </w:r>
      <w:r w:rsidRPr="00E06E3C">
        <w:rPr>
          <w:sz w:val="26"/>
          <w:szCs w:val="26"/>
          <w:u w:val="single"/>
          <w:lang w:val="ru-RU"/>
        </w:rPr>
        <w:t>-</w:t>
      </w:r>
      <w:r w:rsidRPr="00E06E3C">
        <w:rPr>
          <w:sz w:val="26"/>
          <w:szCs w:val="26"/>
          <w:u w:val="single"/>
          <w:lang w:val="en-US"/>
        </w:rPr>
        <w:t>a</w:t>
      </w:r>
      <w:r w:rsidRPr="00E06E3C">
        <w:rPr>
          <w:sz w:val="26"/>
          <w:szCs w:val="26"/>
          <w:u w:val="single"/>
        </w:rPr>
        <w:t xml:space="preserve"> </w:t>
      </w:r>
      <w:r w:rsidRPr="00E06E3C">
        <w:rPr>
          <w:sz w:val="26"/>
          <w:szCs w:val="26"/>
        </w:rPr>
        <w:t>.</w:t>
      </w:r>
    </w:p>
    <w:p w:rsidR="0003718E" w:rsidRPr="000D36A4" w:rsidRDefault="0003718E" w:rsidP="0003718E">
      <w:pPr>
        <w:rPr>
          <w:sz w:val="26"/>
          <w:szCs w:val="26"/>
        </w:rPr>
      </w:pPr>
    </w:p>
    <w:p w:rsidR="004875A3" w:rsidRDefault="00667FF9" w:rsidP="00667FF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sz w:val="26"/>
          <w:szCs w:val="26"/>
        </w:rPr>
      </w:pPr>
      <w:r w:rsidRPr="000D36A4">
        <w:rPr>
          <w:rFonts w:cs="Times New Roman"/>
          <w:sz w:val="26"/>
          <w:szCs w:val="26"/>
        </w:rPr>
        <w:t>1.</w:t>
      </w:r>
      <w:r w:rsidR="0003718E" w:rsidRPr="000D36A4">
        <w:rPr>
          <w:rFonts w:cs="Times New Roman"/>
          <w:sz w:val="26"/>
          <w:szCs w:val="26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  <w:r w:rsidRPr="000D36A4">
        <w:rPr>
          <w:b/>
          <w:sz w:val="26"/>
          <w:szCs w:val="26"/>
        </w:rPr>
        <w:t xml:space="preserve"> </w:t>
      </w:r>
    </w:p>
    <w:p w:rsidR="00667FF9" w:rsidRPr="000D36A4" w:rsidRDefault="004875A3" w:rsidP="00667FF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Pr="004875A3">
        <w:rPr>
          <w:sz w:val="26"/>
          <w:szCs w:val="26"/>
        </w:rPr>
        <w:t xml:space="preserve">ослуги з передачі програмної продукції ESET PROTECT Enterprise On-prem для захисту 12 350 об’єктів </w:t>
      </w:r>
      <w:r w:rsidR="00667FF9" w:rsidRPr="000D36A4">
        <w:rPr>
          <w:sz w:val="26"/>
          <w:szCs w:val="26"/>
        </w:rPr>
        <w:t>за кодом ДК 021:2015: 48760000-3 (Пакети програмного забезпечення для захисту від вірусів)</w:t>
      </w:r>
      <w:r w:rsidR="000E5E69">
        <w:rPr>
          <w:sz w:val="26"/>
          <w:szCs w:val="26"/>
        </w:rPr>
        <w:t>.</w:t>
      </w:r>
    </w:p>
    <w:p w:rsidR="00667FF9" w:rsidRPr="000D36A4" w:rsidRDefault="00667FF9" w:rsidP="00667FF9">
      <w:pPr>
        <w:ind w:left="426"/>
        <w:jc w:val="both"/>
        <w:rPr>
          <w:rFonts w:cs="Times New Roman"/>
          <w:sz w:val="26"/>
          <w:szCs w:val="26"/>
        </w:rPr>
      </w:pPr>
    </w:p>
    <w:p w:rsidR="0003718E" w:rsidRPr="000D36A4" w:rsidRDefault="0003718E" w:rsidP="00667FF9">
      <w:pPr>
        <w:pStyle w:val="a4"/>
        <w:numPr>
          <w:ilvl w:val="0"/>
          <w:numId w:val="11"/>
        </w:numPr>
        <w:ind w:left="0" w:firstLine="851"/>
        <w:jc w:val="both"/>
        <w:rPr>
          <w:rFonts w:cs="Times New Roman"/>
          <w:sz w:val="26"/>
          <w:szCs w:val="26"/>
        </w:rPr>
      </w:pPr>
      <w:r w:rsidRPr="000D36A4">
        <w:rPr>
          <w:rFonts w:cs="Times New Roman"/>
          <w:sz w:val="26"/>
          <w:szCs w:val="26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Станом на сьогодні в Держмитслужбі для антивірусного захисту використовується рішення ESET PROTECT Enterprise, складові якого мають чинні позитивні експертні висновки Держспецзв’язку у сфері технічного захисту інформації. Термін дії ліцензії на антивірусне програмне забезпечення закінчується 03.07.2026. Для захисту інформації, що обробляється на персональних комп’ютерах та серверах від вірусів, зловмисного коду, шкідливого програмного забезпечення в Держмитслужбі, згідно вимог законодавства, існує потреба в закупівлі антивірусного програмного забезпечення загальною кількістю 12 350.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Зазначене рішення також забезпечить відповідність наступним вимогам: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•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>пункту 82 Базового профілю безпеки системи, де обробляється відкрита або конфіденційна інформація, затвердженого наказом Адміністрації Держспецзв’язку від 30.06.2025 № 409;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•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>рекомендацій NIST (National Institute of Standards and Technology), зокрема NIST SP 800-53 Rev. 5 та NIST Cybersecurity Framework (CSF), у частині багаторівневого захисту, моніторингу кінцевих точок та автоматизованого реагування на кіберінциденти.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 xml:space="preserve">Відповідно до вимог Закону України «Про основні засади забезпечення кібербезпеки України» Держмитслужба здійснює заходи щодо запобігання використанню кіберпростору у воєнних, розвідувально-підривних, терористичних та інших протиправних і злочинних цілях, виявлення і реагування на кіберінциденти та кібератаки, усунення їх наслідків, розробляє і реалізує запобіжні, організаційні та інші заходи у сфері кібербезпеки та кіберзахисту. 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 xml:space="preserve">Державною митною службою України створено КСЗІ та отримано атестати відповідності на інформаційно-комунікаційні системи Держмитслужби. 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 xml:space="preserve">КСЗІ як сукупність технічних та організаційних заходів захисту впроваджуються власником інформаційної системи у вигляді технічних (програмно-апаратних та 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lastRenderedPageBreak/>
        <w:t xml:space="preserve">програмних)засобів захисту та їх налаштувань, а також прийняттям наказів, положень, планів, інструкцій тощо. 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 xml:space="preserve">Технічні заходи захисту, зокрема, передбачають закупівлю, встановлення, налаштування та оновлення антивірусних програмних засобів (пакетів антивірусного програмного забезпечення). Органи виконавчої влади зобов’язані використовувати в своїй роботі ліцензійне програмне забезпечення яке має позитивний експертний висновок за результатами державної експертизи у сфері технічного захисту інформації або сертифікат відповідності, виданий органом з оцінки відповідності. 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До складу ESET PROTECT Enterprise з локальною консоллю керування входять  продукти, які мають чинні експертні висновки Держспецзв’язку про відповідність вимогам технічного захисту інформації: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1. ESET Endpoint Security for Microsoft Windows, ESET Endpoint Antivirus for Microsoft Windows, ESET Endpoint Antivirus for Linux, ESET Endpoint Security for Android - для захисту кінцевих точок. В залежності від типу операційної системи використовується той, чи інший дистрибутив.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2. ESET Server Security for Microsoft Windows Server, ESET Server Security for Linux, ESET File Security для захисту файлових серверів.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3. ESET Inspect - інструмент XDR здійснює всебічний моніторинг активності, проводить аналіз підозрілих процесів та реагує на них, дозволяє провести повноцінне розслідування інцидентів в інфраструктурі.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Таким чином, продовження терміну дії ліцензії рішення ESET PROTECT Enterprise забезпечить багаторівневий, проактивний та централізовано керований захист кінцевих пристроїв і серверного обладнання Держмитслужби, дозволяючи ефективно реагувати на кіберінциденти та запобігати їх виникненню, при цьому оптимізуючи витрати та ресурси на впровадження.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Програмна продукція буде входити до сервісів захисту засобів забезпечення Єдиної автоматизованої інформаційної системи митних органів, ідентифікатор – 1204311592300109.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Правове забезпечення: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1.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>Закон України «Про захист інформації в інформаційно-комунікаційних системах»;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2.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Закон України «Про критичну інфраструктуру»;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3.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Закон України «Про захист персональних даних»;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4.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Закон України «Про основні засади забезпечення кібербезпеки України»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5.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Постанова Кабінету Міністрів України від 29 березня 2006 року № 373 «Про затвердження Мінімальних вимог до захисту інформаційних, електронних комунікаційних, інформаційно-комунікаційних та технологічних систем»;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6.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Постанова Кабінету Міністрів України від 12 березня 2022 року № 263 «Деякі питання забезпечення функціонування інформаційно-комунікаційних систем, електронних комунікаційних систем, публічних електронних реєстрів в умовах воєнного стану»;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7.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Постанова Кабінету Міністрів України від 02 лютого 2024 року № 119 «Деякі питання Національної програми інформатизації»;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8.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Постанова Кабінету Міністрів України від 19 червня 2019 року № 518 «Про затвердження Загальних вимог до кіберзахисту об’єктів критичної інфраструктури»;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9.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Наказ Держспецзв'язку від 30.06.2025 № 409 «Про затвердження базового профілю безпеки системи, де обробляється відкрита або конфіденційна інформація»;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lastRenderedPageBreak/>
        <w:t>10.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Наказ Держспецзв'язку від 02.07.2025 № 419 «Про затвердження базового профілю безпеки системи, де обробляється службова інформація»;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11.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Наказ Держспецзв'язку від 30.01.2026 № 75 «Про затвердження Каталогу заходів з кіберзахисту, базових заходів з кіберзахисту, форми плану кіберзахисту та методичних рекомендацій щодо здійснення заходів з кіберзахисту».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12.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ab/>
        <w:t xml:space="preserve"> Довгостроковий національний стратегічний план цифрового розвитку, цифрових трансформацій і цифровізації Державної митної служби України та її територіальних підрозділів на основі Багаторічного стратегічного плану електронної митниці ЄС (Multi-annual strategic plan for electronic customs, MASP-C), затверджений рішенням Комітету з управління інформаційними технологіями у системі управління державними фінансами (протокол № 6 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 xml:space="preserve">від 19 січня 2024 року), реалізованим наказом Міністерства фінансів України </w:t>
      </w:r>
    </w:p>
    <w:p w:rsid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від 09 лютого 2024 року № 63.Проект виконується згідно з Законом України «Про Національну програму інформатизації» та Методикою визначення належності бюджетних програм, завдань, проектів, робіт до сфери інформатизації, затвердженої наказом Міністерства цифрової трансформації України від 29 березня 2023 року № 34, зареєстрованого Міністерством юстиції України 14 квітня 2023 р. № 625/39681.</w:t>
      </w:r>
    </w:p>
    <w:p w:rsidR="007C14FC" w:rsidRPr="007C14FC" w:rsidRDefault="007C14FC" w:rsidP="007C14FC">
      <w:pPr>
        <w:autoSpaceDE w:val="0"/>
        <w:autoSpaceDN w:val="0"/>
        <w:adjustRightInd w:val="0"/>
        <w:ind w:firstLine="567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>
        <w:rPr>
          <w:rFonts w:ascii="TimesNewRomanPS-ItalicMT" w:hAnsi="TimesNewRomanPS-ItalicMT" w:cs="TimesNewRomanPS-ItalicMT"/>
          <w:iCs/>
          <w:sz w:val="26"/>
          <w:szCs w:val="26"/>
        </w:rPr>
        <w:t>3.</w:t>
      </w: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Реалізація завдання (проєкту) забезпечить досягнення таких результатів: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підвищення рівня кіберстійкості та захищеності мережевої інфраструктури Держмитслужби;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забезпечення безперервного моніторингу стану безпеки та оперативного реагування на інциденти без залучення користувачів;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скорочення часу виявлення та усунення загроз завдяки автоматизованому аналізу та централізованому керуванню;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виконання вимог державних і міжнародних стандартів у сфері технічного захисту інформації;</w:t>
      </w:r>
    </w:p>
    <w:p w:rsidR="007C14FC" w:rsidRPr="007C14FC" w:rsidRDefault="007C14FC" w:rsidP="007C14FC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  <w:r w:rsidRPr="007C14FC">
        <w:rPr>
          <w:rFonts w:ascii="TimesNewRomanPS-ItalicMT" w:hAnsi="TimesNewRomanPS-ItalicMT" w:cs="TimesNewRomanPS-ItalicMT"/>
          <w:iCs/>
          <w:sz w:val="26"/>
          <w:szCs w:val="26"/>
        </w:rPr>
        <w:t>оптимізацію витрат за рахунок використання наявної інфраструктури та відсутності потреби у розгортанні нової системи;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474"/>
        <w:gridCol w:w="1418"/>
        <w:gridCol w:w="1275"/>
        <w:gridCol w:w="993"/>
      </w:tblGrid>
      <w:tr w:rsidR="004875A3" w:rsidRPr="004875A3" w:rsidTr="004875A3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75A3" w:rsidRPr="004875A3" w:rsidRDefault="004875A3" w:rsidP="004875A3">
            <w:pPr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75A3" w:rsidRPr="004875A3" w:rsidRDefault="004875A3" w:rsidP="004875A3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Найменування Послуг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A3" w:rsidRPr="004875A3" w:rsidRDefault="004875A3" w:rsidP="004875A3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Строк дії (міс.)</w:t>
            </w:r>
          </w:p>
          <w:p w:rsidR="004875A3" w:rsidRPr="004875A3" w:rsidRDefault="004875A3" w:rsidP="004875A3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ліцензії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75A3" w:rsidRPr="004875A3" w:rsidRDefault="004875A3" w:rsidP="004875A3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Одини-ця виміру</w:t>
            </w:r>
          </w:p>
          <w:p w:rsidR="004875A3" w:rsidRPr="004875A3" w:rsidRDefault="004875A3" w:rsidP="004875A3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ліцензії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75A3" w:rsidRPr="004875A3" w:rsidRDefault="004875A3" w:rsidP="004875A3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Кіль-</w:t>
            </w:r>
          </w:p>
          <w:p w:rsidR="004875A3" w:rsidRPr="004875A3" w:rsidRDefault="004875A3" w:rsidP="004875A3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кість</w:t>
            </w:r>
          </w:p>
        </w:tc>
      </w:tr>
      <w:tr w:rsidR="004875A3" w:rsidRPr="004875A3" w:rsidTr="004875A3">
        <w:trPr>
          <w:cantSplit/>
          <w:trHeight w:val="29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A3" w:rsidRPr="004875A3" w:rsidRDefault="004875A3" w:rsidP="004875A3">
            <w:pPr>
              <w:tabs>
                <w:tab w:val="left" w:pos="9639"/>
              </w:tabs>
              <w:suppressAutoHyphens/>
              <w:spacing w:after="120" w:line="252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A3" w:rsidRPr="004875A3" w:rsidRDefault="004875A3" w:rsidP="007C14FC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2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875A3">
              <w:rPr>
                <w:rFonts w:eastAsia="Times New Roman" w:cs="Times New Roman"/>
                <w:sz w:val="24"/>
                <w:szCs w:val="24"/>
              </w:rPr>
              <w:t xml:space="preserve">послуги з передачі програмної продукції ESET PROTECT Enterprise On-prem для захисту 12350 об’єктів на </w:t>
            </w:r>
            <w:r w:rsidR="007C14FC">
              <w:rPr>
                <w:rFonts w:eastAsia="Times New Roman" w:cs="Times New Roman"/>
                <w:sz w:val="24"/>
                <w:szCs w:val="24"/>
              </w:rPr>
              <w:t>12</w:t>
            </w:r>
            <w:r w:rsidRPr="004875A3">
              <w:rPr>
                <w:rFonts w:eastAsia="Times New Roman" w:cs="Times New Roman"/>
                <w:sz w:val="24"/>
                <w:szCs w:val="24"/>
              </w:rPr>
              <w:t xml:space="preserve"> місяців.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5A3" w:rsidRPr="004875A3" w:rsidRDefault="007C14FC" w:rsidP="004875A3">
            <w:pPr>
              <w:tabs>
                <w:tab w:val="left" w:pos="9639"/>
              </w:tabs>
              <w:suppressAutoHyphens/>
              <w:spacing w:line="252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12</w:t>
            </w:r>
          </w:p>
          <w:p w:rsidR="004875A3" w:rsidRPr="004875A3" w:rsidRDefault="004875A3" w:rsidP="004875A3">
            <w:pPr>
              <w:tabs>
                <w:tab w:val="left" w:pos="9639"/>
              </w:tabs>
              <w:suppressAutoHyphens/>
              <w:spacing w:line="252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sz w:val="24"/>
                <w:szCs w:val="24"/>
                <w:lang w:eastAsia="ar-SA"/>
              </w:rPr>
              <w:t>з дня активації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5A3" w:rsidRPr="004875A3" w:rsidRDefault="004875A3" w:rsidP="004875A3">
            <w:pPr>
              <w:tabs>
                <w:tab w:val="left" w:pos="9639"/>
              </w:tabs>
              <w:suppressAutoHyphens/>
              <w:spacing w:line="252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sz w:val="24"/>
                <w:szCs w:val="24"/>
                <w:lang w:eastAsia="ar-SA"/>
              </w:rPr>
              <w:t>послуга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5A3" w:rsidRPr="004875A3" w:rsidRDefault="004875A3" w:rsidP="004875A3">
            <w:pPr>
              <w:tabs>
                <w:tab w:val="left" w:pos="9639"/>
              </w:tabs>
              <w:suppressAutoHyphens/>
              <w:spacing w:line="252" w:lineRule="auto"/>
              <w:ind w:left="-43" w:right="-6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4875A3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</w:tbl>
    <w:p w:rsidR="004875A3" w:rsidRDefault="004875A3" w:rsidP="004875A3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 w:val="26"/>
          <w:szCs w:val="26"/>
        </w:rPr>
      </w:pPr>
    </w:p>
    <w:p w:rsidR="004875A3" w:rsidRPr="009E7824" w:rsidRDefault="004C04DB" w:rsidP="004875A3">
      <w:pPr>
        <w:pStyle w:val="a7"/>
        <w:widowControl w:val="0"/>
        <w:tabs>
          <w:tab w:val="clear" w:pos="1134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4875A3">
        <w:rPr>
          <w:rFonts w:ascii="Times New Roman" w:hAnsi="Times New Roman" w:cs="Times New Roman"/>
          <w:iCs/>
          <w:sz w:val="26"/>
          <w:szCs w:val="26"/>
        </w:rPr>
        <w:t>4.</w:t>
      </w:r>
      <w:r w:rsidR="004875A3" w:rsidRPr="004875A3">
        <w:rPr>
          <w:rFonts w:ascii="Times New Roman" w:hAnsi="Times New Roman" w:cs="Times New Roman"/>
          <w:sz w:val="26"/>
          <w:szCs w:val="26"/>
        </w:rPr>
        <w:t xml:space="preserve"> </w:t>
      </w:r>
      <w:r w:rsidR="004875A3" w:rsidRPr="004875A3">
        <w:rPr>
          <w:rFonts w:ascii="Times New Roman" w:hAnsi="Times New Roman" w:cs="Times New Roman"/>
          <w:sz w:val="26"/>
          <w:szCs w:val="26"/>
          <w:u w:val="single"/>
        </w:rPr>
        <w:t>Обґрунтування очікуваної вартості закупівлі:</w:t>
      </w:r>
      <w:r w:rsidR="004875A3" w:rsidRPr="004875A3">
        <w:rPr>
          <w:rFonts w:ascii="Times New Roman" w:hAnsi="Times New Roman" w:cs="Times New Roman"/>
          <w:sz w:val="26"/>
          <w:szCs w:val="26"/>
        </w:rPr>
        <w:t xml:space="preserve"> </w:t>
      </w:r>
      <w:r w:rsidR="004875A3" w:rsidRPr="009E7824">
        <w:rPr>
          <w:rFonts w:ascii="Times New Roman" w:hAnsi="Times New Roman" w:cs="Times New Roman"/>
          <w:sz w:val="26"/>
          <w:szCs w:val="26"/>
        </w:rPr>
        <w:t>очікувана вартість</w:t>
      </w:r>
      <w:r w:rsidR="009E7824">
        <w:rPr>
          <w:rFonts w:ascii="Times New Roman" w:hAnsi="Times New Roman" w:cs="Times New Roman"/>
          <w:sz w:val="26"/>
          <w:szCs w:val="26"/>
        </w:rPr>
        <w:t xml:space="preserve"> предмета закупівлі</w:t>
      </w:r>
      <w:r w:rsidR="004875A3" w:rsidRPr="009E7824">
        <w:rPr>
          <w:rFonts w:ascii="Times New Roman" w:hAnsi="Times New Roman" w:cs="Times New Roman"/>
          <w:sz w:val="26"/>
          <w:szCs w:val="26"/>
        </w:rPr>
        <w:t xml:space="preserve"> </w:t>
      </w:r>
      <w:r w:rsidR="004875A3" w:rsidRPr="009E7824">
        <w:rPr>
          <w:rFonts w:ascii="Times New Roman" w:hAnsi="Times New Roman" w:cs="Times New Roman"/>
          <w:iCs/>
          <w:sz w:val="26"/>
          <w:szCs w:val="26"/>
        </w:rPr>
        <w:t xml:space="preserve">складає </w:t>
      </w:r>
      <w:r w:rsidR="007C14FC">
        <w:rPr>
          <w:rFonts w:ascii="Times New Roman" w:hAnsi="Times New Roman" w:cs="Times New Roman"/>
          <w:iCs/>
          <w:sz w:val="26"/>
          <w:szCs w:val="26"/>
        </w:rPr>
        <w:t>10 288 044</w:t>
      </w:r>
      <w:r w:rsidR="004875A3" w:rsidRPr="009E7824">
        <w:rPr>
          <w:rFonts w:ascii="Times New Roman" w:hAnsi="Times New Roman" w:cs="Times New Roman"/>
          <w:iCs/>
          <w:sz w:val="26"/>
          <w:szCs w:val="26"/>
        </w:rPr>
        <w:t>,00 грн</w:t>
      </w:r>
      <w:r w:rsidR="009E7824">
        <w:rPr>
          <w:rFonts w:ascii="Times New Roman" w:hAnsi="Times New Roman" w:cs="Times New Roman"/>
          <w:iCs/>
          <w:sz w:val="26"/>
          <w:szCs w:val="26"/>
        </w:rPr>
        <w:t>.</w:t>
      </w:r>
    </w:p>
    <w:p w:rsidR="007C14FC" w:rsidRPr="007C14FC" w:rsidRDefault="007C14FC" w:rsidP="007C14FC">
      <w:pPr>
        <w:autoSpaceDE w:val="0"/>
        <w:autoSpaceDN w:val="0"/>
        <w:adjustRightInd w:val="0"/>
        <w:ind w:firstLine="851"/>
        <w:jc w:val="both"/>
        <w:rPr>
          <w:rFonts w:cs="Times New Roman"/>
          <w:iCs/>
          <w:sz w:val="26"/>
          <w:szCs w:val="26"/>
        </w:rPr>
      </w:pPr>
      <w:r w:rsidRPr="007C14FC">
        <w:rPr>
          <w:rFonts w:cs="Times New Roman"/>
          <w:iCs/>
          <w:sz w:val="26"/>
          <w:szCs w:val="26"/>
        </w:rPr>
        <w:t>Розрахунок очікуваної вартості закупівлі послуг з передачі програмної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продукції ESET PROTECT Enterprise On-prem для захисту 12 350 об’єктів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(модернізація) сформовано відповідно до примірної методики визначення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очікуваної вартості предмета закупівлі, затвердженої наказом Міністерства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розвитку економіки, торгівлі та сільського господарства України від 18.02.2020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№ 275 на підставі проведеного аналізу цін на аналогічні за технічними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характеристиками послуги шляхом направлення листів потенційним учасникам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процедури закупівлі, а саме листи від 09.01.2026 № 27/27/14/1 на Товариство з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обмеженою відповідальністю «ІТ-ДЕВЕЛОПМЕНТ», від 14.01.2026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№ 27/27/14/2 на Товариство з обмеженою відповідальністю «Ай Ті Про» та від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28.01.2026 № 27/27/14/4 на Товариство з обмеженою відповідальністю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«Датастрім». Відповідно до цінових пропозицій вартість зазначених послуг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 xml:space="preserve">складає: ТОВ «ІТ-ДЕВЕЛОПМЕНТ» - 10 288 044,00 грн, ТОВ </w:t>
      </w:r>
      <w:r w:rsidRPr="007C14FC">
        <w:rPr>
          <w:rFonts w:cs="Times New Roman"/>
          <w:iCs/>
          <w:sz w:val="26"/>
          <w:szCs w:val="26"/>
        </w:rPr>
        <w:lastRenderedPageBreak/>
        <w:t>«Антек Про» -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10 288 044,00 грн, ТОВ «СОФТКЕЙ ЮА» - 10 288 044,00 грн. Отже, середня</w:t>
      </w:r>
      <w:r>
        <w:rPr>
          <w:rFonts w:cs="Times New Roman"/>
          <w:iCs/>
          <w:sz w:val="26"/>
          <w:szCs w:val="26"/>
        </w:rPr>
        <w:t xml:space="preserve"> </w:t>
      </w:r>
      <w:r w:rsidRPr="007C14FC">
        <w:rPr>
          <w:rFonts w:cs="Times New Roman"/>
          <w:iCs/>
          <w:sz w:val="26"/>
          <w:szCs w:val="26"/>
        </w:rPr>
        <w:t>вартість послуг з передачі програмної продукції ESET PROTECT Enterprise On-</w:t>
      </w:r>
    </w:p>
    <w:p w:rsidR="004875A3" w:rsidRPr="004C04DB" w:rsidRDefault="007C14FC" w:rsidP="007C14FC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  <w:r w:rsidRPr="007C14FC">
        <w:rPr>
          <w:rFonts w:cs="Times New Roman"/>
          <w:iCs/>
          <w:sz w:val="26"/>
          <w:szCs w:val="26"/>
        </w:rPr>
        <w:t>prem для захисту 12 350 об’єктів складає 10 288 044,00 грн.</w:t>
      </w:r>
    </w:p>
    <w:sectPr w:rsidR="004875A3" w:rsidRPr="004C04DB" w:rsidSect="006428A6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8A6" w:rsidRDefault="006428A6" w:rsidP="006428A6">
      <w:r>
        <w:separator/>
      </w:r>
    </w:p>
  </w:endnote>
  <w:endnote w:type="continuationSeparator" w:id="0">
    <w:p w:rsidR="006428A6" w:rsidRDefault="006428A6" w:rsidP="0064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999411"/>
      <w:docPartObj>
        <w:docPartGallery w:val="Page Numbers (Bottom of Page)"/>
        <w:docPartUnique/>
      </w:docPartObj>
    </w:sdtPr>
    <w:sdtEndPr/>
    <w:sdtContent>
      <w:p w:rsidR="006428A6" w:rsidRDefault="006428A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5B2">
          <w:rPr>
            <w:noProof/>
          </w:rPr>
          <w:t>4</w:t>
        </w:r>
        <w:r>
          <w:fldChar w:fldCharType="end"/>
        </w:r>
      </w:p>
    </w:sdtContent>
  </w:sdt>
  <w:p w:rsidR="006428A6" w:rsidRDefault="006428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8A6" w:rsidRDefault="006428A6" w:rsidP="006428A6">
      <w:r>
        <w:separator/>
      </w:r>
    </w:p>
  </w:footnote>
  <w:footnote w:type="continuationSeparator" w:id="0">
    <w:p w:rsidR="006428A6" w:rsidRDefault="006428A6" w:rsidP="0064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3C66"/>
    <w:multiLevelType w:val="multilevel"/>
    <w:tmpl w:val="C26051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232CA"/>
    <w:multiLevelType w:val="hybridMultilevel"/>
    <w:tmpl w:val="979E1094"/>
    <w:lvl w:ilvl="0" w:tplc="5EB2496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3443"/>
    <w:multiLevelType w:val="multilevel"/>
    <w:tmpl w:val="3B9E6C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2160"/>
      </w:pPr>
      <w:rPr>
        <w:rFonts w:hint="default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41035"/>
    <w:multiLevelType w:val="multilevel"/>
    <w:tmpl w:val="8A76628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sz w:val="28"/>
        <w:lang w:val="ru-RU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CCE0BD7"/>
    <w:multiLevelType w:val="hybridMultilevel"/>
    <w:tmpl w:val="F7ECD61A"/>
    <w:lvl w:ilvl="0" w:tplc="73DA0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9" w15:restartNumberingAfterBreak="0">
    <w:nsid w:val="6C06723B"/>
    <w:multiLevelType w:val="hybridMultilevel"/>
    <w:tmpl w:val="E3DAA38E"/>
    <w:lvl w:ilvl="0" w:tplc="52CCE7D2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2" w:hanging="360"/>
      </w:pPr>
    </w:lvl>
    <w:lvl w:ilvl="2" w:tplc="0422001B" w:tentative="1">
      <w:start w:val="1"/>
      <w:numFmt w:val="lowerRoman"/>
      <w:lvlText w:val="%3."/>
      <w:lvlJc w:val="right"/>
      <w:pPr>
        <w:ind w:left="3012" w:hanging="180"/>
      </w:pPr>
    </w:lvl>
    <w:lvl w:ilvl="3" w:tplc="0422000F" w:tentative="1">
      <w:start w:val="1"/>
      <w:numFmt w:val="decimal"/>
      <w:lvlText w:val="%4."/>
      <w:lvlJc w:val="left"/>
      <w:pPr>
        <w:ind w:left="3732" w:hanging="360"/>
      </w:pPr>
    </w:lvl>
    <w:lvl w:ilvl="4" w:tplc="04220019" w:tentative="1">
      <w:start w:val="1"/>
      <w:numFmt w:val="lowerLetter"/>
      <w:lvlText w:val="%5."/>
      <w:lvlJc w:val="left"/>
      <w:pPr>
        <w:ind w:left="4452" w:hanging="360"/>
      </w:pPr>
    </w:lvl>
    <w:lvl w:ilvl="5" w:tplc="0422001B" w:tentative="1">
      <w:start w:val="1"/>
      <w:numFmt w:val="lowerRoman"/>
      <w:lvlText w:val="%6."/>
      <w:lvlJc w:val="right"/>
      <w:pPr>
        <w:ind w:left="5172" w:hanging="180"/>
      </w:pPr>
    </w:lvl>
    <w:lvl w:ilvl="6" w:tplc="0422000F" w:tentative="1">
      <w:start w:val="1"/>
      <w:numFmt w:val="decimal"/>
      <w:lvlText w:val="%7."/>
      <w:lvlJc w:val="left"/>
      <w:pPr>
        <w:ind w:left="5892" w:hanging="360"/>
      </w:pPr>
    </w:lvl>
    <w:lvl w:ilvl="7" w:tplc="04220019" w:tentative="1">
      <w:start w:val="1"/>
      <w:numFmt w:val="lowerLetter"/>
      <w:lvlText w:val="%8."/>
      <w:lvlJc w:val="left"/>
      <w:pPr>
        <w:ind w:left="6612" w:hanging="360"/>
      </w:pPr>
    </w:lvl>
    <w:lvl w:ilvl="8" w:tplc="0422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4296F"/>
    <w:rsid w:val="000C6E30"/>
    <w:rsid w:val="000D36A4"/>
    <w:rsid w:val="000E5169"/>
    <w:rsid w:val="000E5E69"/>
    <w:rsid w:val="00206058"/>
    <w:rsid w:val="002218FF"/>
    <w:rsid w:val="00234016"/>
    <w:rsid w:val="00272E34"/>
    <w:rsid w:val="00327A17"/>
    <w:rsid w:val="004218DD"/>
    <w:rsid w:val="004775FD"/>
    <w:rsid w:val="004875A3"/>
    <w:rsid w:val="004C04DB"/>
    <w:rsid w:val="005224D5"/>
    <w:rsid w:val="005527AD"/>
    <w:rsid w:val="006370C7"/>
    <w:rsid w:val="006428A6"/>
    <w:rsid w:val="0064587E"/>
    <w:rsid w:val="00667FF9"/>
    <w:rsid w:val="0070425A"/>
    <w:rsid w:val="007319DA"/>
    <w:rsid w:val="007C14FC"/>
    <w:rsid w:val="00860A1D"/>
    <w:rsid w:val="008B2BC8"/>
    <w:rsid w:val="00992BA6"/>
    <w:rsid w:val="009E7824"/>
    <w:rsid w:val="00A238BF"/>
    <w:rsid w:val="00B24970"/>
    <w:rsid w:val="00B50CD5"/>
    <w:rsid w:val="00C165F5"/>
    <w:rsid w:val="00C761E7"/>
    <w:rsid w:val="00C76690"/>
    <w:rsid w:val="00D055B2"/>
    <w:rsid w:val="00D55768"/>
    <w:rsid w:val="00D64E2E"/>
    <w:rsid w:val="00E06E3C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64587E"/>
    <w:pPr>
      <w:widowControl w:val="0"/>
      <w:spacing w:before="123" w:after="120" w:line="360" w:lineRule="auto"/>
      <w:ind w:firstLine="425"/>
      <w:jc w:val="both"/>
      <w:outlineLvl w:val="1"/>
    </w:pPr>
    <w:rPr>
      <w:rFonts w:ascii="Tahoma" w:eastAsia="Calibri" w:hAnsi="Tahoma" w:cs="Calibri"/>
      <w:b/>
      <w:bCs/>
      <w:color w:val="7F7F7F" w:themeColor="text1" w:themeTint="80"/>
      <w:szCs w:val="28"/>
      <w:lang w:val="ru-RU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"/>
    <w:basedOn w:val="a0"/>
    <w:link w:val="a5"/>
    <w:uiPriority w:val="99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customStyle="1" w:styleId="21">
    <w:name w:val="Номер2"/>
    <w:basedOn w:val="a7"/>
    <w:qFormat/>
    <w:rsid w:val="004218DD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">
    <w:name w:val="Номер3"/>
    <w:basedOn w:val="21"/>
    <w:rsid w:val="004218DD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"/>
    <w:rsid w:val="004218DD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4218DD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4218DD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4218DD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4218DD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4218DD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rsid w:val="0064587E"/>
    <w:rPr>
      <w:rFonts w:ascii="Tahoma" w:eastAsia="Calibri" w:hAnsi="Tahoma" w:cs="Calibri"/>
      <w:b/>
      <w:bCs/>
      <w:color w:val="7F7F7F" w:themeColor="text1" w:themeTint="80"/>
      <w:sz w:val="28"/>
      <w:szCs w:val="28"/>
      <w:lang w:val="ru-RU" w:eastAsia="uk-UA"/>
    </w:rPr>
  </w:style>
  <w:style w:type="table" w:styleId="a8">
    <w:name w:val="Table Grid"/>
    <w:basedOn w:val="a2"/>
    <w:uiPriority w:val="59"/>
    <w:rsid w:val="006458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80"/>
    <w:rsid w:val="0064587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0"/>
    <w:link w:val="a9"/>
    <w:rsid w:val="0064587E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a">
    <w:name w:val="Balloon Text"/>
    <w:basedOn w:val="a0"/>
    <w:link w:val="ab"/>
    <w:uiPriority w:val="99"/>
    <w:semiHidden/>
    <w:unhideWhenUsed/>
    <w:rsid w:val="00C7669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C76690"/>
    <w:rPr>
      <w:rFonts w:ascii="Segoe UI" w:hAnsi="Segoe UI" w:cs="Segoe UI"/>
      <w:sz w:val="18"/>
      <w:szCs w:val="18"/>
    </w:rPr>
  </w:style>
  <w:style w:type="paragraph" w:customStyle="1" w:styleId="ac">
    <w:name w:val="Абзац ТВ"/>
    <w:basedOn w:val="a0"/>
    <w:rsid w:val="00667FF9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paragraph" w:customStyle="1" w:styleId="a">
    <w:name w:val="Пункт ТВ"/>
    <w:basedOn w:val="a0"/>
    <w:rsid w:val="00667FF9"/>
    <w:pPr>
      <w:numPr>
        <w:numId w:val="12"/>
      </w:numPr>
      <w:tabs>
        <w:tab w:val="left" w:pos="993"/>
      </w:tabs>
      <w:spacing w:before="240" w:after="120"/>
      <w:ind w:left="0" w:firstLine="567"/>
    </w:pPr>
    <w:rPr>
      <w:rFonts w:eastAsia="Calibri" w:cs="Calibri"/>
      <w:b/>
      <w:sz w:val="24"/>
      <w:szCs w:val="20"/>
    </w:rPr>
  </w:style>
  <w:style w:type="paragraph" w:styleId="ad">
    <w:name w:val="header"/>
    <w:basedOn w:val="a0"/>
    <w:link w:val="ae"/>
    <w:uiPriority w:val="99"/>
    <w:unhideWhenUsed/>
    <w:rsid w:val="006428A6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6428A6"/>
    <w:rPr>
      <w:rFonts w:ascii="Times New Roman" w:hAnsi="Times New Roman"/>
      <w:sz w:val="28"/>
    </w:rPr>
  </w:style>
  <w:style w:type="paragraph" w:styleId="af">
    <w:name w:val="footer"/>
    <w:basedOn w:val="a0"/>
    <w:link w:val="af0"/>
    <w:uiPriority w:val="99"/>
    <w:unhideWhenUsed/>
    <w:rsid w:val="006428A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6428A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1138</Words>
  <Characters>8233</Characters>
  <Application>Microsoft Office Word</Application>
  <DocSecurity>0</DocSecurity>
  <Lines>161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40</cp:revision>
  <cp:lastPrinted>2026-04-09T08:22:00Z</cp:lastPrinted>
  <dcterms:created xsi:type="dcterms:W3CDTF">2024-04-11T08:32:00Z</dcterms:created>
  <dcterms:modified xsi:type="dcterms:W3CDTF">2026-04-09T08:23:00Z</dcterms:modified>
</cp:coreProperties>
</file>