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B6904" w:rsidRPr="00CB6904">
        <w:rPr>
          <w:sz w:val="28"/>
          <w:szCs w:val="28"/>
        </w:rPr>
        <w:t>Послуги з проведення щоквартального дозиметричного контролю на робочих місцях персоналу Харківської митниці</w:t>
      </w:r>
      <w:r w:rsidRPr="007638CC">
        <w:rPr>
          <w:sz w:val="28"/>
          <w:szCs w:val="28"/>
        </w:rPr>
        <w:t xml:space="preserve"> (код за ДК 021:2015: </w:t>
      </w:r>
      <w:r w:rsidR="00CB6904" w:rsidRPr="00CB6904">
        <w:rPr>
          <w:sz w:val="28"/>
          <w:szCs w:val="28"/>
        </w:rPr>
        <w:t>90720000-0 Захист довкілля</w:t>
      </w:r>
      <w:r w:rsidR="00C97FF8">
        <w:rPr>
          <w:sz w:val="28"/>
          <w:szCs w:val="28"/>
        </w:rPr>
        <w:t>)</w:t>
      </w:r>
      <w:r w:rsidR="007F02B7">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CB6904" w:rsidRPr="00CB6904">
        <w:rPr>
          <w:sz w:val="28"/>
          <w:szCs w:val="28"/>
        </w:rPr>
        <w:t>UA-2026-04-15-009310-a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C97FF8">
        <w:rPr>
          <w:sz w:val="28"/>
          <w:szCs w:val="28"/>
        </w:rPr>
        <w:t>п</w:t>
      </w:r>
      <w:r w:rsidR="00C97FF8" w:rsidRPr="00C97FF8">
        <w:rPr>
          <w:sz w:val="28"/>
          <w:szCs w:val="28"/>
        </w:rPr>
        <w:t xml:space="preserve">ослуги з </w:t>
      </w:r>
      <w:r w:rsidR="00CB6904" w:rsidRPr="00CB6904">
        <w:rPr>
          <w:sz w:val="28"/>
          <w:szCs w:val="28"/>
        </w:rPr>
        <w:t>проведення щоквартального дозиметричного контролю на робочих місцях персоналу</w:t>
      </w:r>
      <w:r w:rsidR="00CB6904">
        <w:rPr>
          <w:sz w:val="28"/>
          <w:szCs w:val="28"/>
        </w:rPr>
        <w:t xml:space="preserve"> </w:t>
      </w:r>
      <w:r w:rsidR="00CB6904" w:rsidRPr="00CB6904">
        <w:rPr>
          <w:sz w:val="28"/>
          <w:szCs w:val="28"/>
        </w:rPr>
        <w:t xml:space="preserve">Харківської </w:t>
      </w:r>
      <w:r w:rsidR="00CB6904">
        <w:rPr>
          <w:sz w:val="28"/>
          <w:szCs w:val="28"/>
        </w:rPr>
        <w:t>митниці</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58082B" w:rsidRPr="0058082B" w:rsidRDefault="00F56DE4" w:rsidP="0058082B">
      <w:pPr>
        <w:ind w:firstLine="709"/>
        <w:jc w:val="both"/>
        <w:rPr>
          <w:sz w:val="28"/>
          <w:szCs w:val="28"/>
        </w:rPr>
      </w:pPr>
      <w:r>
        <w:rPr>
          <w:sz w:val="28"/>
          <w:szCs w:val="28"/>
        </w:rPr>
        <w:t>4.</w:t>
      </w:r>
      <w:r w:rsidRPr="000F5409">
        <w:rPr>
          <w:sz w:val="28"/>
          <w:szCs w:val="28"/>
        </w:rPr>
        <w:t>1.</w:t>
      </w:r>
      <w:r w:rsidR="0007281B" w:rsidRPr="0007281B">
        <w:rPr>
          <w:sz w:val="28"/>
          <w:szCs w:val="28"/>
        </w:rPr>
        <w:tab/>
      </w:r>
      <w:r w:rsidR="0058082B" w:rsidRPr="0058082B">
        <w:rPr>
          <w:sz w:val="28"/>
          <w:szCs w:val="28"/>
        </w:rPr>
        <w:t>Учасник повинен надавати послуги з проведення щоквартального дозиметричного контролю на робочих місцях персоналу Харківської митниці (далі – Послуги) з метою встановлення придатності обладнання, на яке поширюється державний санітарний нагляд, до застосування на підставі результатів контролю їх радіаційних характеристик для забезпечення захисту населення та персоналу митниці від наслідків дії іонізуючого випромінювання у відповідності до Закону України «Про використання ядерної енергії та радіаційну безпеку», введеного в дію Постановою Верховної Ради України від 08 лютого 1995 року № 40/95-ВР, «Основних санітарних правил забезпечення радіаційної безпеки України», затверджених наказом Міністерства охорони здоров’я України від 02.02.2005 року № 54 та «Норм радіаційної безпеки України (НРБУ – 97)», затверджених наказом Міністерства охорони здоров’я України від 14.07.1997 року № 208.</w:t>
      </w:r>
    </w:p>
    <w:p w:rsidR="0058082B" w:rsidRPr="0058082B" w:rsidRDefault="0058082B" w:rsidP="0058082B">
      <w:pPr>
        <w:ind w:firstLine="709"/>
        <w:jc w:val="both"/>
        <w:rPr>
          <w:sz w:val="28"/>
          <w:szCs w:val="28"/>
        </w:rPr>
      </w:pPr>
    </w:p>
    <w:p w:rsidR="0058082B" w:rsidRPr="0058082B" w:rsidRDefault="0058082B" w:rsidP="0058082B">
      <w:pPr>
        <w:ind w:firstLine="709"/>
        <w:jc w:val="both"/>
        <w:rPr>
          <w:sz w:val="28"/>
          <w:szCs w:val="28"/>
        </w:rPr>
      </w:pPr>
      <w:r>
        <w:rPr>
          <w:sz w:val="28"/>
          <w:szCs w:val="28"/>
        </w:rPr>
        <w:lastRenderedPageBreak/>
        <w:t>4.</w:t>
      </w:r>
      <w:r w:rsidRPr="0058082B">
        <w:rPr>
          <w:sz w:val="28"/>
          <w:szCs w:val="28"/>
        </w:rPr>
        <w:t>2.</w:t>
      </w:r>
      <w:r w:rsidRPr="0058082B">
        <w:rPr>
          <w:sz w:val="28"/>
          <w:szCs w:val="28"/>
        </w:rPr>
        <w:tab/>
        <w:t xml:space="preserve">Для підтвердження </w:t>
      </w:r>
      <w:proofErr w:type="spellStart"/>
      <w:r w:rsidRPr="0058082B">
        <w:rPr>
          <w:sz w:val="28"/>
          <w:szCs w:val="28"/>
        </w:rPr>
        <w:t>спроможністі</w:t>
      </w:r>
      <w:proofErr w:type="spellEnd"/>
      <w:r w:rsidRPr="0058082B">
        <w:rPr>
          <w:sz w:val="28"/>
          <w:szCs w:val="28"/>
        </w:rPr>
        <w:t xml:space="preserve"> надання Послуг належної якості Учасник повинен надати у складі тендерної пропозиції копію Свідоцтва про відповідність системи вимірювань вимогам ДСТУ ISO 10012:2005. </w:t>
      </w:r>
    </w:p>
    <w:p w:rsidR="0058082B" w:rsidRPr="0058082B" w:rsidRDefault="0058082B" w:rsidP="0058082B">
      <w:pPr>
        <w:ind w:firstLine="709"/>
        <w:jc w:val="both"/>
        <w:rPr>
          <w:sz w:val="28"/>
          <w:szCs w:val="28"/>
        </w:rPr>
      </w:pPr>
      <w:r>
        <w:rPr>
          <w:sz w:val="28"/>
          <w:szCs w:val="28"/>
        </w:rPr>
        <w:t>4.</w:t>
      </w:r>
      <w:r w:rsidRPr="0058082B">
        <w:rPr>
          <w:sz w:val="28"/>
          <w:szCs w:val="28"/>
        </w:rPr>
        <w:t>3.</w:t>
      </w:r>
      <w:r w:rsidRPr="0058082B">
        <w:rPr>
          <w:sz w:val="28"/>
          <w:szCs w:val="28"/>
        </w:rPr>
        <w:tab/>
        <w:t>Результатами надання Послуг є Протоколи дозиметричного контролю робочих місць операторів, які працюють з устаткуванням, що використовує іонізуюче випромінювання, оформлені з дотриманням вимог нормативних документів в галузі радіаційної безпеки.</w:t>
      </w:r>
    </w:p>
    <w:p w:rsidR="0058082B" w:rsidRPr="0058082B" w:rsidRDefault="0058082B" w:rsidP="0058082B">
      <w:pPr>
        <w:ind w:firstLine="709"/>
        <w:jc w:val="both"/>
        <w:rPr>
          <w:sz w:val="28"/>
          <w:szCs w:val="28"/>
        </w:rPr>
      </w:pPr>
      <w:r w:rsidRPr="0058082B">
        <w:rPr>
          <w:sz w:val="28"/>
          <w:szCs w:val="28"/>
        </w:rPr>
        <w:t>4.</w:t>
      </w:r>
      <w:r>
        <w:rPr>
          <w:sz w:val="28"/>
          <w:szCs w:val="28"/>
        </w:rPr>
        <w:t>4.</w:t>
      </w:r>
      <w:r w:rsidRPr="0058082B">
        <w:rPr>
          <w:sz w:val="28"/>
          <w:szCs w:val="28"/>
        </w:rPr>
        <w:tab/>
        <w:t>Учасник при наданні Послуг повинен забезпечити дозиметричний контроль з дотриманням правил пожежної безпеки, охорони праці та інших технічних вимог згідно чинного законодавства України.</w:t>
      </w:r>
    </w:p>
    <w:p w:rsidR="0058082B" w:rsidRPr="0058082B" w:rsidRDefault="0058082B" w:rsidP="0058082B">
      <w:pPr>
        <w:ind w:firstLine="709"/>
        <w:jc w:val="both"/>
        <w:rPr>
          <w:sz w:val="28"/>
          <w:szCs w:val="28"/>
        </w:rPr>
      </w:pPr>
      <w:r>
        <w:rPr>
          <w:sz w:val="28"/>
          <w:szCs w:val="28"/>
        </w:rPr>
        <w:t>4.</w:t>
      </w:r>
      <w:r w:rsidRPr="0058082B">
        <w:rPr>
          <w:sz w:val="28"/>
          <w:szCs w:val="28"/>
        </w:rPr>
        <w:t>5.</w:t>
      </w:r>
      <w:r w:rsidRPr="0058082B">
        <w:rPr>
          <w:sz w:val="28"/>
          <w:szCs w:val="28"/>
        </w:rPr>
        <w:tab/>
        <w:t>Вартість Послуг повинна враховувати усі витрати, що пов'язані з наданням Послуг та виконанням цього Договору, у тому числі пересилання, отримання документів.</w:t>
      </w:r>
    </w:p>
    <w:p w:rsidR="00CB6904" w:rsidRDefault="0058082B" w:rsidP="0058082B">
      <w:pPr>
        <w:ind w:firstLine="709"/>
        <w:jc w:val="both"/>
        <w:rPr>
          <w:sz w:val="28"/>
          <w:szCs w:val="28"/>
        </w:rPr>
      </w:pPr>
      <w:r>
        <w:rPr>
          <w:sz w:val="28"/>
          <w:szCs w:val="28"/>
        </w:rPr>
        <w:t>4.</w:t>
      </w:r>
      <w:r w:rsidRPr="0058082B">
        <w:rPr>
          <w:sz w:val="28"/>
          <w:szCs w:val="28"/>
        </w:rPr>
        <w:t>6. Проведення робіт з дозиметрії повинно забезпечуватись фахівцями, які мають відповідну кваліфікацію, що відповідає вимогам, затвердженим відповідними нормативними документами Міністерства охорони здоров’я України.</w:t>
      </w:r>
    </w:p>
    <w:p w:rsidR="007F02B7" w:rsidRDefault="007F02B7" w:rsidP="00C97FF8">
      <w:pPr>
        <w:jc w:val="center"/>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30719">
        <w:rPr>
          <w:sz w:val="28"/>
          <w:szCs w:val="28"/>
        </w:rPr>
        <w:t>6</w:t>
      </w:r>
      <w:r>
        <w:rPr>
          <w:sz w:val="28"/>
          <w:szCs w:val="28"/>
        </w:rPr>
        <w:t xml:space="preserve"> рік» відповідно до бюджетного запиту на 202</w:t>
      </w:r>
      <w:r w:rsidR="00630719">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6. Очікувана вартість предмета закупівлі: </w:t>
      </w:r>
      <w:r w:rsidR="0058082B">
        <w:rPr>
          <w:sz w:val="28"/>
          <w:szCs w:val="28"/>
        </w:rPr>
        <w:t>3888</w:t>
      </w:r>
      <w:r w:rsidR="007F02B7">
        <w:rPr>
          <w:sz w:val="28"/>
          <w:szCs w:val="28"/>
        </w:rPr>
        <w:t>,</w:t>
      </w:r>
      <w:r w:rsidR="00C97FF8">
        <w:rPr>
          <w:sz w:val="28"/>
          <w:szCs w:val="28"/>
        </w:rPr>
        <w:t>00</w:t>
      </w:r>
      <w:r w:rsidR="007F02B7">
        <w:rPr>
          <w:sz w:val="28"/>
          <w:szCs w:val="28"/>
        </w:rPr>
        <w:t xml:space="preserve"> </w:t>
      </w:r>
      <w:r w:rsidR="00630719">
        <w:rPr>
          <w:sz w:val="28"/>
          <w:szCs w:val="28"/>
        </w:rPr>
        <w:t>грн</w:t>
      </w:r>
      <w:r w:rsidRPr="0064353C">
        <w:rPr>
          <w:sz w:val="28"/>
          <w:szCs w:val="28"/>
        </w:rPr>
        <w:t xml:space="preserve"> (</w:t>
      </w:r>
      <w:r w:rsidR="0058082B">
        <w:rPr>
          <w:sz w:val="28"/>
          <w:szCs w:val="28"/>
        </w:rPr>
        <w:t>Три</w:t>
      </w:r>
      <w:r w:rsidR="00A6202F">
        <w:rPr>
          <w:sz w:val="28"/>
          <w:szCs w:val="28"/>
        </w:rPr>
        <w:t xml:space="preserve"> тисяч</w:t>
      </w:r>
      <w:r w:rsidR="0058082B">
        <w:rPr>
          <w:sz w:val="28"/>
          <w:szCs w:val="28"/>
        </w:rPr>
        <w:t>і</w:t>
      </w:r>
      <w:r w:rsidR="00A6202F">
        <w:rPr>
          <w:sz w:val="28"/>
          <w:szCs w:val="28"/>
        </w:rPr>
        <w:t xml:space="preserve"> </w:t>
      </w:r>
      <w:r w:rsidR="0058082B">
        <w:rPr>
          <w:sz w:val="28"/>
          <w:szCs w:val="28"/>
        </w:rPr>
        <w:t>ві</w:t>
      </w:r>
      <w:r w:rsidR="00C97FF8">
        <w:rPr>
          <w:sz w:val="28"/>
          <w:szCs w:val="28"/>
        </w:rPr>
        <w:t xml:space="preserve">сімсот </w:t>
      </w:r>
      <w:r w:rsidR="0058082B">
        <w:rPr>
          <w:sz w:val="28"/>
          <w:szCs w:val="28"/>
        </w:rPr>
        <w:t>вісімдесят вісім</w:t>
      </w:r>
      <w:bookmarkStart w:id="0" w:name="_GoBack"/>
      <w:bookmarkEnd w:id="0"/>
      <w:r w:rsidR="007F02B7">
        <w:rPr>
          <w:sz w:val="28"/>
          <w:szCs w:val="28"/>
        </w:rPr>
        <w:t xml:space="preserve"> </w:t>
      </w:r>
      <w:r w:rsidRPr="0064353C">
        <w:rPr>
          <w:sz w:val="28"/>
          <w:szCs w:val="28"/>
        </w:rPr>
        <w:t>грив</w:t>
      </w:r>
      <w:r w:rsidR="00C97FF8">
        <w:rPr>
          <w:sz w:val="28"/>
          <w:szCs w:val="28"/>
        </w:rPr>
        <w:t>ень 00</w:t>
      </w:r>
      <w:r w:rsidRPr="0064353C">
        <w:rPr>
          <w:sz w:val="28"/>
          <w:szCs w:val="28"/>
        </w:rPr>
        <w:t xml:space="preserve"> копій</w:t>
      </w:r>
      <w:r w:rsidR="00C97FF8">
        <w:rPr>
          <w:sz w:val="28"/>
          <w:szCs w:val="28"/>
        </w:rPr>
        <w:t>о</w:t>
      </w:r>
      <w:r w:rsidRPr="0064353C">
        <w:rPr>
          <w:sz w:val="28"/>
          <w:szCs w:val="28"/>
        </w:rPr>
        <w:t>к) з ПДВ.</w:t>
      </w:r>
    </w:p>
    <w:p w:rsidR="00630719" w:rsidRDefault="00630719">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w:t>
      </w:r>
      <w:r w:rsidR="00072C8F">
        <w:rPr>
          <w:bCs/>
          <w:color w:val="000000"/>
          <w:sz w:val="28"/>
          <w:szCs w:val="28"/>
        </w:rPr>
        <w:t>«</w:t>
      </w:r>
      <w:r>
        <w:rPr>
          <w:bCs/>
          <w:color w:val="000000"/>
          <w:sz w:val="28"/>
          <w:szCs w:val="28"/>
        </w:rPr>
        <w:t xml:space="preserve">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 xml:space="preserve">передбачених Законом України </w:t>
      </w:r>
      <w:r w:rsidR="00072C8F">
        <w:rPr>
          <w:sz w:val="28"/>
          <w:szCs w:val="28"/>
          <w:lang w:eastAsia="zh-CN"/>
        </w:rPr>
        <w:t>«</w:t>
      </w:r>
      <w:r>
        <w:rPr>
          <w:sz w:val="28"/>
          <w:szCs w:val="28"/>
          <w:lang w:eastAsia="zh-CN"/>
        </w:rPr>
        <w:t>Про публічні закупівлі</w:t>
      </w:r>
      <w:r w:rsidR="00072C8F">
        <w:rPr>
          <w:sz w:val="28"/>
          <w:szCs w:val="28"/>
          <w:lang w:eastAsia="zh-CN"/>
        </w:rPr>
        <w:t>»</w:t>
      </w:r>
      <w:r>
        <w:rPr>
          <w:sz w:val="28"/>
          <w:szCs w:val="28"/>
          <w:lang w:eastAsia="zh-CN"/>
        </w:rPr>
        <w:t>, на період дії правового режиму воєнного стану в Україні та протягом 90 днів з дня його припинення або скасування</w:t>
      </w:r>
      <w:r w:rsidR="00072C8F">
        <w:rPr>
          <w:sz w:val="28"/>
          <w:szCs w:val="28"/>
          <w:lang w:eastAsia="zh-CN"/>
        </w:rPr>
        <w:t>»</w:t>
      </w:r>
      <w:r>
        <w:rPr>
          <w:sz w:val="28"/>
          <w:szCs w:val="28"/>
          <w:lang w:eastAsia="zh-CN"/>
        </w:rPr>
        <w:t xml:space="preserve">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72C8F"/>
    <w:rsid w:val="00091449"/>
    <w:rsid w:val="000F5409"/>
    <w:rsid w:val="001F193F"/>
    <w:rsid w:val="00233594"/>
    <w:rsid w:val="002C557A"/>
    <w:rsid w:val="003723E1"/>
    <w:rsid w:val="003D312B"/>
    <w:rsid w:val="004E20B4"/>
    <w:rsid w:val="0058082B"/>
    <w:rsid w:val="00580B3D"/>
    <w:rsid w:val="005C1972"/>
    <w:rsid w:val="00630719"/>
    <w:rsid w:val="0064353C"/>
    <w:rsid w:val="007638CC"/>
    <w:rsid w:val="007F02B7"/>
    <w:rsid w:val="007F4622"/>
    <w:rsid w:val="008000AF"/>
    <w:rsid w:val="008054B6"/>
    <w:rsid w:val="009A22BD"/>
    <w:rsid w:val="00A22D61"/>
    <w:rsid w:val="00A6202F"/>
    <w:rsid w:val="00AB0663"/>
    <w:rsid w:val="00C97FF8"/>
    <w:rsid w:val="00CB6904"/>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2CB1F"/>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7821">
      <w:bodyDiv w:val="1"/>
      <w:marLeft w:val="0"/>
      <w:marRight w:val="0"/>
      <w:marTop w:val="0"/>
      <w:marBottom w:val="0"/>
      <w:divBdr>
        <w:top w:val="none" w:sz="0" w:space="0" w:color="auto"/>
        <w:left w:val="none" w:sz="0" w:space="0" w:color="auto"/>
        <w:bottom w:val="none" w:sz="0" w:space="0" w:color="auto"/>
        <w:right w:val="none" w:sz="0" w:space="0" w:color="auto"/>
      </w:divBdr>
    </w:div>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2908</Words>
  <Characters>1659</Characters>
  <Application>Microsoft Office Word</Application>
  <DocSecurity>0</DocSecurity>
  <Lines>13</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31</cp:revision>
  <cp:lastPrinted>2023-03-08T12:33:00Z</cp:lastPrinted>
  <dcterms:created xsi:type="dcterms:W3CDTF">2023-12-01T11:47:00Z</dcterms:created>
  <dcterms:modified xsi:type="dcterms:W3CDTF">2026-04-15T12:17:00Z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