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AA5795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AA5795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Pr="00AA5795" w:rsidRDefault="0044463B" w:rsidP="00A52A66">
            <w:pPr>
              <w:pStyle w:val="Standard"/>
              <w:jc w:val="both"/>
              <w:rPr>
                <w:lang w:val="uk-UA"/>
              </w:rPr>
            </w:pPr>
            <w:r w:rsidRPr="00AA5795"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C71F2E" w:rsidRDefault="00744D96" w:rsidP="00AA457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8" w:history="1">
              <w:r w:rsidR="00B245E7">
                <w:rPr>
                  <w:rStyle w:val="mend05rem"/>
                  <w:rFonts w:ascii="Times New Roman" w:hAnsi="Times New Roman"/>
                  <w:sz w:val="24"/>
                  <w:szCs w:val="24"/>
                </w:rPr>
                <w:t>Послуги з поточного ремонту та заміни</w:t>
              </w:r>
              <w:r w:rsidR="00C71F2E" w:rsidRPr="00C71F2E">
                <w:rPr>
                  <w:rStyle w:val="mend05rem"/>
                  <w:rFonts w:ascii="Times New Roman" w:hAnsi="Times New Roman"/>
                  <w:sz w:val="24"/>
                  <w:szCs w:val="24"/>
                </w:rPr>
                <w:t xml:space="preserve"> мансардних вікон</w:t>
              </w:r>
            </w:hyperlink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Pr="00AA5795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AA5795">
              <w:rPr>
                <w:lang w:val="uk-UA"/>
              </w:rPr>
              <w:t xml:space="preserve">Код за класифікатором </w:t>
            </w:r>
          </w:p>
          <w:p w:rsidR="00C46E8E" w:rsidRPr="00AA5795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AA5795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AA5795" w:rsidRDefault="00C71F2E" w:rsidP="00A52A66">
            <w:pPr>
              <w:pStyle w:val="Standard"/>
              <w:jc w:val="both"/>
              <w:rPr>
                <w:lang w:val="ru-RU"/>
              </w:rPr>
            </w:pPr>
            <w:r>
              <w:t xml:space="preserve">45450000-6 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завершальні</w:t>
            </w:r>
            <w:proofErr w:type="spellEnd"/>
            <w:r>
              <w:t xml:space="preserve"> </w:t>
            </w:r>
            <w:proofErr w:type="spellStart"/>
            <w:r>
              <w:t>будівельні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Pr="00AA5795" w:rsidRDefault="00C345E8" w:rsidP="00A52A66">
            <w:pPr>
              <w:pStyle w:val="Standard"/>
              <w:jc w:val="both"/>
              <w:rPr>
                <w:lang w:val="uk-UA"/>
              </w:rPr>
            </w:pPr>
            <w:r w:rsidRPr="00AA5795"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AA5795" w:rsidRDefault="00AB6153" w:rsidP="00A52A66">
            <w:pPr>
              <w:pStyle w:val="Standard"/>
              <w:jc w:val="both"/>
              <w:rPr>
                <w:lang w:val="uk-UA"/>
              </w:rPr>
            </w:pPr>
            <w:r w:rsidRPr="00AA5795"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Pr="00AA5795" w:rsidRDefault="0044463B" w:rsidP="00A52A66">
            <w:pPr>
              <w:pStyle w:val="Standard"/>
              <w:jc w:val="both"/>
              <w:rPr>
                <w:lang w:val="uk-UA"/>
              </w:rPr>
            </w:pPr>
            <w:r w:rsidRPr="00AA5795"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A5795" w:rsidRDefault="00B245E7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9" w:tgtFrame="_blank" w:history="1">
              <w:r>
                <w:rPr>
                  <w:rStyle w:val="a8"/>
                </w:rPr>
                <w:t>UA-2026-05-07-013364-a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Pr="00AA5795" w:rsidRDefault="000D66C6" w:rsidP="000D66C6">
            <w:pPr>
              <w:pStyle w:val="Standard"/>
              <w:rPr>
                <w:lang w:val="uk-UA"/>
              </w:rPr>
            </w:pPr>
            <w:r w:rsidRPr="00AA5795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C71F2E" w:rsidRDefault="00AA457D" w:rsidP="005D64ED">
            <w:pPr>
              <w:tabs>
                <w:tab w:val="left" w:pos="9150"/>
              </w:tabs>
              <w:spacing w:after="0" w:line="240" w:lineRule="auto"/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795">
              <w:rPr>
                <w:rFonts w:ascii="Times New Roman" w:hAnsi="Times New Roman"/>
                <w:sz w:val="24"/>
                <w:szCs w:val="24"/>
              </w:rPr>
              <w:t>Технічні та якісні характеристики предмета закупівлі визначаються відповідно до потреб замовника</w:t>
            </w:r>
            <w:r w:rsidR="006025BA">
              <w:rPr>
                <w:rFonts w:ascii="Times New Roman" w:hAnsi="Times New Roman"/>
                <w:sz w:val="24"/>
                <w:szCs w:val="24"/>
              </w:rPr>
              <w:t>.</w:t>
            </w:r>
            <w:r w:rsidRPr="00AA5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64ED" w:rsidRPr="00C71F2E" w:rsidRDefault="00C71F2E" w:rsidP="00C71F2E">
            <w:pPr>
              <w:pStyle w:val="1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  <w:lang w:eastAsia="ru-RU"/>
              </w:rPr>
            </w:pPr>
            <w:r w:rsidRPr="00C71F2E">
              <w:rPr>
                <w:rFonts w:ascii="Times New Roman" w:hAnsi="Times New Roman"/>
                <w:b w:val="0"/>
                <w:sz w:val="24"/>
                <w:szCs w:val="24"/>
              </w:rPr>
              <w:t>Послуги надаються</w:t>
            </w:r>
            <w:r w:rsidR="00AA457D" w:rsidRPr="00AA5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71F2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ідповідно до</w:t>
            </w:r>
            <w:r w:rsidRPr="00C71F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C71F2E">
              <w:rPr>
                <w:rFonts w:ascii="Times New Roman" w:hAnsi="Times New Roman"/>
                <w:b w:val="0"/>
                <w:sz w:val="24"/>
                <w:szCs w:val="24"/>
              </w:rPr>
              <w:t>ДСТУ EN 14351-1:2020</w:t>
            </w:r>
            <w:r w:rsidRPr="00C71F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Pr="00C71F2E">
              <w:rPr>
                <w:rFonts w:ascii="Times New Roman" w:hAnsi="Times New Roman"/>
                <w:b w:val="0"/>
                <w:sz w:val="24"/>
                <w:szCs w:val="24"/>
              </w:rPr>
              <w:t>Вікна та двері. Вимоги. Частина І Вікна та зовнішні двері</w:t>
            </w:r>
            <w:r w:rsidRPr="00C71F2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» клас </w:t>
            </w:r>
            <w:proofErr w:type="spellStart"/>
            <w:r w:rsidRPr="00C71F2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енергоефективності</w:t>
            </w:r>
            <w:proofErr w:type="spellEnd"/>
            <w:r w:rsidRPr="00C71F2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 вікон</w:t>
            </w:r>
            <w:r w:rsidRPr="00C71F2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C71F2E" w:rsidRPr="00C71F2E" w:rsidRDefault="00C71F2E" w:rsidP="00C71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71F2E">
              <w:rPr>
                <w:rFonts w:ascii="Times New Roman" w:hAnsi="Times New Roman"/>
                <w:sz w:val="24"/>
                <w:szCs w:val="24"/>
              </w:rPr>
              <w:t>Загальна характеристика об’єкту: Митний комплекс, який введений в експлуатацію в 2000 році, складається з двох семиповерхових адміністративних будівель (АПК-1 і АПК-2,  осі 17-20 і 1-3 відповідно), а також складських приміщень які їх об’єднують (осі 3-17).</w:t>
            </w:r>
          </w:p>
          <w:p w:rsidR="00C71F2E" w:rsidRPr="00C71F2E" w:rsidRDefault="00C71F2E" w:rsidP="00C71F2E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71F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Роботи повинні виконуватися відповідно до ДБН, ДСТУ та інструкцій   виробника.</w:t>
            </w:r>
          </w:p>
          <w:p w:rsidR="00C71F2E" w:rsidRPr="00C71F2E" w:rsidRDefault="00C71F2E" w:rsidP="00C71F2E">
            <w:pPr>
              <w:spacing w:after="0" w:line="240" w:lineRule="auto"/>
              <w:ind w:left="5" w:hanging="1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71F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Виконавець повинен забезпечити тимчасовий захист </w:t>
            </w:r>
            <w:r w:rsidRPr="00C71F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приміщень від атмосферних впливів.</w:t>
            </w:r>
          </w:p>
          <w:p w:rsidR="00C71F2E" w:rsidRPr="00C71F2E" w:rsidRDefault="00C71F2E" w:rsidP="00C71F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71F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Після закінчення робіт забезпечити повну герметичність вузлів примикання.</w:t>
            </w:r>
          </w:p>
          <w:p w:rsidR="00C71F2E" w:rsidRDefault="00C71F2E" w:rsidP="00C71F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71F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Забезпечити дотримання правил охорони праці та техніки безпеки</w:t>
            </w:r>
            <w:r w:rsidR="00B245E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  <w:p w:rsidR="00B245E7" w:rsidRPr="00B245E7" w:rsidRDefault="00B245E7" w:rsidP="00B245E7">
            <w:pPr>
              <w:tabs>
                <w:tab w:val="left" w:pos="9150"/>
              </w:tabs>
              <w:spacing w:after="0" w:line="240" w:lineRule="auto"/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5E7">
              <w:rPr>
                <w:rFonts w:ascii="Times New Roman" w:hAnsi="Times New Roman"/>
                <w:sz w:val="24"/>
                <w:szCs w:val="24"/>
              </w:rPr>
              <w:t xml:space="preserve">Учасник повинен: гарантувати якість і надійність послуги, мати дозвільні документи на виконання робіт </w:t>
            </w:r>
          </w:p>
          <w:p w:rsidR="00B245E7" w:rsidRPr="00B245E7" w:rsidRDefault="00B245E7" w:rsidP="00B245E7">
            <w:pPr>
              <w:tabs>
                <w:tab w:val="left" w:pos="9150"/>
              </w:tabs>
              <w:spacing w:after="0" w:line="240" w:lineRule="auto"/>
              <w:ind w:left="5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45E7">
              <w:rPr>
                <w:rFonts w:ascii="Times New Roman" w:hAnsi="Times New Roman"/>
                <w:bCs/>
                <w:sz w:val="24"/>
                <w:szCs w:val="24"/>
              </w:rPr>
              <w:t>Після завершення надання робіт/послуг Виконавець має гарантувати  Замовнику якість встановлених мансардних вікон  протягом  12 місяців</w:t>
            </w:r>
          </w:p>
          <w:p w:rsidR="00B245E7" w:rsidRPr="00B245E7" w:rsidRDefault="00B245E7" w:rsidP="00B245E7">
            <w:pPr>
              <w:tabs>
                <w:tab w:val="left" w:pos="915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5E7">
              <w:rPr>
                <w:rFonts w:ascii="Times New Roman" w:hAnsi="Times New Roman"/>
                <w:bCs/>
                <w:sz w:val="24"/>
                <w:szCs w:val="24"/>
              </w:rPr>
              <w:t>Після завершення послуг з демонтажу, демонтовані матеріали та конструкції, що замінюються, повертається  Виконавцем Замовнику, про що складаються відповідні акти приймання</w:t>
            </w:r>
            <w:r w:rsidRPr="00BE4B61"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Pr="00B245E7">
              <w:rPr>
                <w:rFonts w:ascii="Times New Roman" w:hAnsi="Times New Roman"/>
                <w:bCs/>
                <w:sz w:val="24"/>
                <w:szCs w:val="24"/>
              </w:rPr>
              <w:t>передачі демонтованого матеріалу</w:t>
            </w:r>
          </w:p>
          <w:p w:rsidR="002C1EE6" w:rsidRPr="005D64ED" w:rsidRDefault="00873F6B" w:rsidP="005D64ED">
            <w:pPr>
              <w:tabs>
                <w:tab w:val="left" w:pos="9150"/>
              </w:tabs>
              <w:spacing w:after="0" w:line="240" w:lineRule="auto"/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4ED">
              <w:rPr>
                <w:rFonts w:ascii="Times New Roman" w:hAnsi="Times New Roman"/>
                <w:sz w:val="24"/>
                <w:szCs w:val="24"/>
              </w:rPr>
              <w:t>Інші технічні, якісні характеристики предмету</w:t>
            </w:r>
            <w:r w:rsidR="00AA457D" w:rsidRPr="005D64ED">
              <w:rPr>
                <w:rFonts w:ascii="Times New Roman" w:hAnsi="Times New Roman"/>
                <w:sz w:val="24"/>
                <w:szCs w:val="24"/>
              </w:rPr>
              <w:t xml:space="preserve"> закупівлі зазначені в Додатку 5</w:t>
            </w:r>
            <w:r w:rsidRPr="005D64ED">
              <w:rPr>
                <w:rFonts w:ascii="Times New Roman" w:hAnsi="Times New Roman"/>
                <w:sz w:val="24"/>
                <w:szCs w:val="24"/>
              </w:rPr>
              <w:t xml:space="preserve"> до Ого</w:t>
            </w:r>
            <w:r w:rsidR="007F4441" w:rsidRPr="005D64ED">
              <w:rPr>
                <w:rFonts w:ascii="Times New Roman" w:hAnsi="Times New Roman"/>
                <w:sz w:val="24"/>
                <w:szCs w:val="24"/>
              </w:rPr>
              <w:t>лошення про проведення відкритих торгів з особливостями</w:t>
            </w:r>
            <w:r w:rsidRPr="005D64ED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CF196E" w:rsidRPr="00AA5795" w:rsidRDefault="00CF196E" w:rsidP="00A52A66">
            <w:pPr>
              <w:pStyle w:val="Standard"/>
              <w:rPr>
                <w:lang w:val="uk-UA"/>
              </w:rPr>
            </w:pPr>
            <w:r w:rsidRPr="00AA5795"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Pr="00AA5795" w:rsidRDefault="00B245E7" w:rsidP="00385E8F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ru-RU"/>
              </w:rPr>
              <w:t>303 0</w:t>
            </w:r>
            <w:r w:rsidR="00C71F2E">
              <w:rPr>
                <w:bCs/>
                <w:lang w:val="ru-RU"/>
              </w:rPr>
              <w:t>00,00</w:t>
            </w:r>
            <w:r w:rsidR="00FD52E2" w:rsidRPr="00AA5795">
              <w:rPr>
                <w:bCs/>
                <w:lang w:val="uk-UA"/>
              </w:rPr>
              <w:t xml:space="preserve"> </w:t>
            </w:r>
            <w:r w:rsidR="006D6A52" w:rsidRPr="00AA5795">
              <w:rPr>
                <w:bCs/>
                <w:lang w:val="uk-UA"/>
              </w:rPr>
              <w:t>грн.</w:t>
            </w:r>
            <w:r w:rsidR="00861EF6" w:rsidRPr="00AA5795">
              <w:rPr>
                <w:bCs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Pr="00AA5795" w:rsidRDefault="0044463B" w:rsidP="00A52A66">
            <w:pPr>
              <w:pStyle w:val="Standard"/>
              <w:rPr>
                <w:lang w:val="uk-UA"/>
              </w:rPr>
            </w:pPr>
            <w:r w:rsidRPr="00AA5795">
              <w:rPr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AA457D" w:rsidRPr="00AA5795" w:rsidRDefault="00702B9B" w:rsidP="00AA457D">
            <w:pPr>
              <w:pStyle w:val="Standard"/>
              <w:jc w:val="both"/>
              <w:rPr>
                <w:bCs/>
                <w:lang w:val="uk-UA"/>
              </w:rPr>
            </w:pPr>
            <w:r w:rsidRPr="00AA5795">
              <w:t xml:space="preserve">     </w:t>
            </w:r>
            <w:proofErr w:type="spellStart"/>
            <w:r w:rsidR="00AA457D" w:rsidRPr="00AA5795">
              <w:t>За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умови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подання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заявки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на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проведення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закупівлі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відповідно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до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пропозицій</w:t>
            </w:r>
            <w:proofErr w:type="spellEnd"/>
            <w:r w:rsidR="00AA457D" w:rsidRPr="00AA5795">
              <w:t xml:space="preserve">, </w:t>
            </w:r>
            <w:proofErr w:type="spellStart"/>
            <w:r w:rsidR="00AA457D" w:rsidRPr="00AA5795">
              <w:t>які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були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надані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та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враховані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під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час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формування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бюджетного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запиту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на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відповідний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рік</w:t>
            </w:r>
            <w:proofErr w:type="spellEnd"/>
            <w:r w:rsidR="00AA457D" w:rsidRPr="00AA5795">
              <w:t>.</w:t>
            </w:r>
          </w:p>
          <w:p w:rsidR="009B04C4" w:rsidRPr="00AA5795" w:rsidRDefault="009B04C4" w:rsidP="009B04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795">
              <w:rPr>
                <w:rFonts w:ascii="Times New Roman" w:hAnsi="Times New Roman"/>
                <w:sz w:val="24"/>
                <w:szCs w:val="24"/>
              </w:rPr>
              <w:lastRenderedPageBreak/>
              <w:t>Визначення очікуваної вартості предмета закупівлі обумовлено статистичним аналізом</w:t>
            </w:r>
            <w:r w:rsidRPr="00AA5795">
              <w:rPr>
                <w:sz w:val="24"/>
                <w:szCs w:val="24"/>
              </w:rPr>
              <w:t xml:space="preserve"> </w:t>
            </w:r>
            <w:r w:rsidRPr="00AA5795">
              <w:rPr>
                <w:rFonts w:ascii="Times New Roman" w:hAnsi="Times New Roman"/>
                <w:sz w:val="24"/>
                <w:szCs w:val="24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</w:t>
            </w:r>
            <w:r w:rsidR="00AA5795" w:rsidRPr="00AA5795">
              <w:rPr>
                <w:rFonts w:ascii="Times New Roman" w:hAnsi="Times New Roman"/>
              </w:rPr>
              <w:t>методом цін відповідних закупівель минулих періодів (укладених договорів)</w:t>
            </w:r>
            <w:r w:rsidR="00587A48">
              <w:rPr>
                <w:rFonts w:ascii="Times New Roman" w:hAnsi="Times New Roman"/>
              </w:rPr>
              <w:t xml:space="preserve"> аналогічних/ідентичних </w:t>
            </w:r>
            <w:r w:rsidR="00AA5795" w:rsidRPr="00AA5795">
              <w:rPr>
                <w:rFonts w:ascii="Times New Roman" w:hAnsi="Times New Roman"/>
              </w:rPr>
              <w:t>послуг</w:t>
            </w:r>
            <w:r w:rsidRPr="00AA57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A37B4" w:rsidRPr="00AA5795" w:rsidRDefault="00AA457D" w:rsidP="00F90200">
            <w:pPr>
              <w:spacing w:after="0" w:line="240" w:lineRule="atLeast"/>
              <w:jc w:val="both"/>
              <w:rPr>
                <w:bCs/>
                <w:sz w:val="24"/>
                <w:szCs w:val="24"/>
                <w:lang w:val="ru-RU"/>
              </w:rPr>
            </w:pPr>
            <w:r w:rsidRPr="00AA5795">
              <w:rPr>
                <w:rFonts w:ascii="Times New Roman" w:hAnsi="Times New Roman"/>
                <w:bCs/>
                <w:sz w:val="24"/>
                <w:szCs w:val="24"/>
              </w:rPr>
              <w:t>Розмір бюджетного призначення для предмета закупівлі відповідає розрахун</w:t>
            </w:r>
            <w:r w:rsidR="00D972CE" w:rsidRPr="00AA5795">
              <w:rPr>
                <w:rFonts w:ascii="Times New Roman" w:hAnsi="Times New Roman"/>
                <w:bCs/>
                <w:sz w:val="24"/>
                <w:szCs w:val="24"/>
              </w:rPr>
              <w:t>ку видатків до кошторису на 202</w:t>
            </w:r>
            <w:r w:rsidR="00B245E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6</w:t>
            </w:r>
            <w:r w:rsidRPr="00AA5795">
              <w:rPr>
                <w:rFonts w:ascii="Times New Roman" w:hAnsi="Times New Roman"/>
                <w:bCs/>
                <w:sz w:val="24"/>
                <w:szCs w:val="24"/>
              </w:rPr>
              <w:t xml:space="preserve"> рік Київської митниці за КЕКВ 2240.</w:t>
            </w:r>
            <w:r w:rsidRPr="00AA5795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:rsidR="00BC7F75" w:rsidRDefault="00BC7F75" w:rsidP="008559CE">
      <w:pPr>
        <w:pStyle w:val="Default"/>
        <w:jc w:val="both"/>
      </w:pPr>
    </w:p>
    <w:p w:rsidR="008D3270" w:rsidRDefault="008D327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8D3270" w:rsidRDefault="008D327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957" w:rsidRDefault="00F44957">
      <w:pPr>
        <w:spacing w:line="240" w:lineRule="auto"/>
      </w:pPr>
      <w:r>
        <w:separator/>
      </w:r>
    </w:p>
  </w:endnote>
  <w:endnote w:type="continuationSeparator" w:id="0">
    <w:p w:rsidR="00F44957" w:rsidRDefault="00F4495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957" w:rsidRDefault="00F44957">
      <w:pPr>
        <w:spacing w:line="240" w:lineRule="auto"/>
      </w:pPr>
      <w:r>
        <w:separator/>
      </w:r>
    </w:p>
  </w:footnote>
  <w:footnote w:type="continuationSeparator" w:id="0">
    <w:p w:rsidR="00F44957" w:rsidRDefault="00F449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4923"/>
    <w:multiLevelType w:val="hybridMultilevel"/>
    <w:tmpl w:val="7BA272DE"/>
    <w:lvl w:ilvl="0" w:tplc="66DEECE4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2B285430"/>
    <w:multiLevelType w:val="hybridMultilevel"/>
    <w:tmpl w:val="62CE1206"/>
    <w:lvl w:ilvl="0" w:tplc="4AF88DEE">
      <w:start w:val="108"/>
      <w:numFmt w:val="bullet"/>
      <w:lvlText w:val="-"/>
      <w:lvlJc w:val="left"/>
      <w:pPr>
        <w:ind w:left="392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3">
    <w:nsid w:val="37544255"/>
    <w:multiLevelType w:val="multilevel"/>
    <w:tmpl w:val="058E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326CA8"/>
    <w:multiLevelType w:val="multilevel"/>
    <w:tmpl w:val="5814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5F7646"/>
    <w:multiLevelType w:val="multilevel"/>
    <w:tmpl w:val="58D8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2D72AA"/>
    <w:multiLevelType w:val="multilevel"/>
    <w:tmpl w:val="83E2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896D5B"/>
    <w:multiLevelType w:val="multilevel"/>
    <w:tmpl w:val="1FFA3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B44A95"/>
    <w:multiLevelType w:val="hybridMultilevel"/>
    <w:tmpl w:val="07824E96"/>
    <w:lvl w:ilvl="0" w:tplc="5FD6EDE4"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B36950"/>
    <w:multiLevelType w:val="multilevel"/>
    <w:tmpl w:val="D464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C81029"/>
    <w:multiLevelType w:val="multilevel"/>
    <w:tmpl w:val="6032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2"/>
  </w:num>
  <w:num w:numId="5">
    <w:abstractNumId w:val="0"/>
  </w:num>
  <w:num w:numId="6">
    <w:abstractNumId w:val="9"/>
  </w:num>
  <w:num w:numId="7">
    <w:abstractNumId w:val="3"/>
  </w:num>
  <w:num w:numId="8">
    <w:abstractNumId w:val="10"/>
  </w:num>
  <w:num w:numId="9">
    <w:abstractNumId w:val="7"/>
  </w:num>
  <w:num w:numId="10">
    <w:abstractNumId w:val="6"/>
  </w:num>
  <w:num w:numId="11">
    <w:abstractNumId w:val="8"/>
  </w:num>
  <w:num w:numId="12">
    <w:abstractNumId w:val="1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02A02"/>
    <w:rsid w:val="00006EF8"/>
    <w:rsid w:val="000231E4"/>
    <w:rsid w:val="0003089F"/>
    <w:rsid w:val="00040524"/>
    <w:rsid w:val="000611F7"/>
    <w:rsid w:val="0006189B"/>
    <w:rsid w:val="00066D2F"/>
    <w:rsid w:val="00093AE1"/>
    <w:rsid w:val="000B0065"/>
    <w:rsid w:val="000D4DE0"/>
    <w:rsid w:val="000D4F53"/>
    <w:rsid w:val="000D66C6"/>
    <w:rsid w:val="00115FD6"/>
    <w:rsid w:val="00172E00"/>
    <w:rsid w:val="00180810"/>
    <w:rsid w:val="0018491A"/>
    <w:rsid w:val="001868CB"/>
    <w:rsid w:val="00187E89"/>
    <w:rsid w:val="00190DC0"/>
    <w:rsid w:val="00195072"/>
    <w:rsid w:val="00195530"/>
    <w:rsid w:val="001A6BC0"/>
    <w:rsid w:val="001D1201"/>
    <w:rsid w:val="001D22A7"/>
    <w:rsid w:val="001D6A80"/>
    <w:rsid w:val="001E68CE"/>
    <w:rsid w:val="001F74C8"/>
    <w:rsid w:val="00204EE3"/>
    <w:rsid w:val="00211FFE"/>
    <w:rsid w:val="002A3B6E"/>
    <w:rsid w:val="002A4927"/>
    <w:rsid w:val="002B1D67"/>
    <w:rsid w:val="002C1EE6"/>
    <w:rsid w:val="002D2AC5"/>
    <w:rsid w:val="002E7D7D"/>
    <w:rsid w:val="002F3886"/>
    <w:rsid w:val="002F4320"/>
    <w:rsid w:val="00316C87"/>
    <w:rsid w:val="00327DD8"/>
    <w:rsid w:val="00344B5B"/>
    <w:rsid w:val="0035353A"/>
    <w:rsid w:val="00353892"/>
    <w:rsid w:val="00366228"/>
    <w:rsid w:val="00382C8F"/>
    <w:rsid w:val="003844B6"/>
    <w:rsid w:val="00385E8F"/>
    <w:rsid w:val="003902BB"/>
    <w:rsid w:val="003A37B4"/>
    <w:rsid w:val="003B53B3"/>
    <w:rsid w:val="003B6BF6"/>
    <w:rsid w:val="003C0E29"/>
    <w:rsid w:val="003E229A"/>
    <w:rsid w:val="003E7B9D"/>
    <w:rsid w:val="00426200"/>
    <w:rsid w:val="00426F2D"/>
    <w:rsid w:val="0044463B"/>
    <w:rsid w:val="0046041A"/>
    <w:rsid w:val="0047247B"/>
    <w:rsid w:val="00480354"/>
    <w:rsid w:val="00492F5C"/>
    <w:rsid w:val="00497678"/>
    <w:rsid w:val="004B4AC8"/>
    <w:rsid w:val="004C4FAB"/>
    <w:rsid w:val="004C5233"/>
    <w:rsid w:val="005108FA"/>
    <w:rsid w:val="005141A4"/>
    <w:rsid w:val="0052423C"/>
    <w:rsid w:val="00525609"/>
    <w:rsid w:val="00534DCA"/>
    <w:rsid w:val="005534B3"/>
    <w:rsid w:val="0055380F"/>
    <w:rsid w:val="00561418"/>
    <w:rsid w:val="0056683F"/>
    <w:rsid w:val="00587A48"/>
    <w:rsid w:val="0059489B"/>
    <w:rsid w:val="005A21BD"/>
    <w:rsid w:val="005A31E3"/>
    <w:rsid w:val="005A47EB"/>
    <w:rsid w:val="005B4276"/>
    <w:rsid w:val="005D170A"/>
    <w:rsid w:val="005D4C74"/>
    <w:rsid w:val="005D64ED"/>
    <w:rsid w:val="006025BA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C4A87"/>
    <w:rsid w:val="006D6A52"/>
    <w:rsid w:val="006E69D4"/>
    <w:rsid w:val="006F1184"/>
    <w:rsid w:val="00702B9B"/>
    <w:rsid w:val="00707A68"/>
    <w:rsid w:val="00710005"/>
    <w:rsid w:val="00717590"/>
    <w:rsid w:val="00735A6C"/>
    <w:rsid w:val="00744D96"/>
    <w:rsid w:val="00750B0B"/>
    <w:rsid w:val="0077382A"/>
    <w:rsid w:val="00785B35"/>
    <w:rsid w:val="00791115"/>
    <w:rsid w:val="00791B6F"/>
    <w:rsid w:val="0079378A"/>
    <w:rsid w:val="007A31BE"/>
    <w:rsid w:val="007B1250"/>
    <w:rsid w:val="007B2ACD"/>
    <w:rsid w:val="007B33D9"/>
    <w:rsid w:val="007D06E3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97B4A"/>
    <w:rsid w:val="008B361E"/>
    <w:rsid w:val="008C047E"/>
    <w:rsid w:val="008C1BB0"/>
    <w:rsid w:val="008C3164"/>
    <w:rsid w:val="008C4004"/>
    <w:rsid w:val="008D3270"/>
    <w:rsid w:val="0091521F"/>
    <w:rsid w:val="009245E8"/>
    <w:rsid w:val="00927042"/>
    <w:rsid w:val="0093327B"/>
    <w:rsid w:val="0093391B"/>
    <w:rsid w:val="00945008"/>
    <w:rsid w:val="00956DF0"/>
    <w:rsid w:val="00965515"/>
    <w:rsid w:val="00972D75"/>
    <w:rsid w:val="009806BC"/>
    <w:rsid w:val="00980820"/>
    <w:rsid w:val="00993DEC"/>
    <w:rsid w:val="00996107"/>
    <w:rsid w:val="009A429D"/>
    <w:rsid w:val="009B04C4"/>
    <w:rsid w:val="009C2252"/>
    <w:rsid w:val="009D43D9"/>
    <w:rsid w:val="009D6DBD"/>
    <w:rsid w:val="00A3604F"/>
    <w:rsid w:val="00A474D7"/>
    <w:rsid w:val="00A52A66"/>
    <w:rsid w:val="00A71946"/>
    <w:rsid w:val="00A900DF"/>
    <w:rsid w:val="00A90FD7"/>
    <w:rsid w:val="00A92ADF"/>
    <w:rsid w:val="00AA457D"/>
    <w:rsid w:val="00AA4A01"/>
    <w:rsid w:val="00AA5795"/>
    <w:rsid w:val="00AA60A9"/>
    <w:rsid w:val="00AB1543"/>
    <w:rsid w:val="00AB6153"/>
    <w:rsid w:val="00AE0A72"/>
    <w:rsid w:val="00AF6903"/>
    <w:rsid w:val="00B245E7"/>
    <w:rsid w:val="00B36B20"/>
    <w:rsid w:val="00B3768D"/>
    <w:rsid w:val="00B53C85"/>
    <w:rsid w:val="00B541BA"/>
    <w:rsid w:val="00B5683C"/>
    <w:rsid w:val="00B6015A"/>
    <w:rsid w:val="00B84A50"/>
    <w:rsid w:val="00BC6097"/>
    <w:rsid w:val="00BC70EC"/>
    <w:rsid w:val="00BC7F75"/>
    <w:rsid w:val="00BD5407"/>
    <w:rsid w:val="00BD58BF"/>
    <w:rsid w:val="00BE2287"/>
    <w:rsid w:val="00C106A8"/>
    <w:rsid w:val="00C121B4"/>
    <w:rsid w:val="00C300C7"/>
    <w:rsid w:val="00C345E8"/>
    <w:rsid w:val="00C4194A"/>
    <w:rsid w:val="00C41F65"/>
    <w:rsid w:val="00C46E8E"/>
    <w:rsid w:val="00C67E55"/>
    <w:rsid w:val="00C71F2E"/>
    <w:rsid w:val="00C758C2"/>
    <w:rsid w:val="00C85A9F"/>
    <w:rsid w:val="00C85FCB"/>
    <w:rsid w:val="00CC3F49"/>
    <w:rsid w:val="00CE1A06"/>
    <w:rsid w:val="00CF196E"/>
    <w:rsid w:val="00CF1D65"/>
    <w:rsid w:val="00D31398"/>
    <w:rsid w:val="00D407F5"/>
    <w:rsid w:val="00D64230"/>
    <w:rsid w:val="00D66F5D"/>
    <w:rsid w:val="00D972CE"/>
    <w:rsid w:val="00DB772E"/>
    <w:rsid w:val="00DC2472"/>
    <w:rsid w:val="00DE1144"/>
    <w:rsid w:val="00DF3088"/>
    <w:rsid w:val="00E14933"/>
    <w:rsid w:val="00E340B0"/>
    <w:rsid w:val="00E71020"/>
    <w:rsid w:val="00E9035A"/>
    <w:rsid w:val="00EA072D"/>
    <w:rsid w:val="00EB6130"/>
    <w:rsid w:val="00EC0EC8"/>
    <w:rsid w:val="00EE4B5F"/>
    <w:rsid w:val="00F161D3"/>
    <w:rsid w:val="00F44957"/>
    <w:rsid w:val="00F6329F"/>
    <w:rsid w:val="00F66125"/>
    <w:rsid w:val="00F70110"/>
    <w:rsid w:val="00F81167"/>
    <w:rsid w:val="00F90200"/>
    <w:rsid w:val="00FA40A7"/>
    <w:rsid w:val="00FB3029"/>
    <w:rsid w:val="00FD52E2"/>
    <w:rsid w:val="00FF1983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"/>
    <w:qFormat/>
    <w:rsid w:val="00C71F2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F2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2A4927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2A4927"/>
    <w:rPr>
      <w:rFonts w:ascii="Arial" w:eastAsia="Times New Roman" w:hAnsi="Arial"/>
      <w:lang w:eastAsia="zh-CN"/>
    </w:rPr>
  </w:style>
  <w:style w:type="paragraph" w:styleId="ab">
    <w:name w:val="Body Text"/>
    <w:basedOn w:val="a"/>
    <w:link w:val="ac"/>
    <w:unhideWhenUsed/>
    <w:qFormat/>
    <w:rsid w:val="005D170A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c">
    <w:name w:val="Основной текст Знак"/>
    <w:basedOn w:val="a0"/>
    <w:link w:val="ab"/>
    <w:rsid w:val="005D170A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fw500">
    <w:name w:val="fw(500)"/>
    <w:basedOn w:val="a0"/>
    <w:rsid w:val="00E9035A"/>
  </w:style>
  <w:style w:type="character" w:customStyle="1" w:styleId="mend05rem">
    <w:name w:val="mend(0.5rem)"/>
    <w:basedOn w:val="a0"/>
    <w:rsid w:val="006025BA"/>
  </w:style>
  <w:style w:type="paragraph" w:customStyle="1" w:styleId="TableParagraph">
    <w:name w:val="Table Paragraph"/>
    <w:basedOn w:val="a"/>
    <w:uiPriority w:val="99"/>
    <w:qFormat/>
    <w:rsid w:val="006C4A87"/>
    <w:pPr>
      <w:widowControl w:val="0"/>
      <w:spacing w:after="0" w:line="240" w:lineRule="auto"/>
      <w:ind w:left="57"/>
      <w:jc w:val="both"/>
    </w:pPr>
    <w:rPr>
      <w:rFonts w:ascii="Times New Roman" w:eastAsia="Times New Roman" w:hAnsi="Times New Roman"/>
      <w:color w:val="00000A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semiHidden/>
    <w:rsid w:val="00C71F2E"/>
    <w:rPr>
      <w:rFonts w:ascii="Cambria" w:eastAsia="Times New Roman" w:hAnsi="Cambria"/>
      <w:b/>
      <w:bCs/>
      <w:sz w:val="26"/>
      <w:szCs w:val="26"/>
      <w:lang w:val="uk-UA" w:eastAsia="en-US"/>
    </w:rPr>
  </w:style>
  <w:style w:type="character" w:styleId="ad">
    <w:name w:val="Strong"/>
    <w:basedOn w:val="a0"/>
    <w:uiPriority w:val="22"/>
    <w:qFormat/>
    <w:rsid w:val="00C71F2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71F2E"/>
    <w:rPr>
      <w:rFonts w:ascii="Cambria" w:eastAsia="Times New Roman" w:hAnsi="Cambria"/>
      <w:b/>
      <w:bCs/>
      <w:kern w:val="32"/>
      <w:sz w:val="32"/>
      <w:szCs w:val="3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tender.com.ua/prozorro/tender/27304980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orro.gov.ua/tender/UA-2026-05-07-013364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2213</Words>
  <Characters>1262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15</cp:revision>
  <cp:lastPrinted>2026-05-08T06:05:00Z</cp:lastPrinted>
  <dcterms:created xsi:type="dcterms:W3CDTF">2024-04-23T07:11:00Z</dcterms:created>
  <dcterms:modified xsi:type="dcterms:W3CDTF">2026-05-08T06:05:00Z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