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3939" w14:textId="77777777" w:rsidR="00293DB8" w:rsidRPr="00A9035F" w:rsidRDefault="00293DB8" w:rsidP="00A9035F">
      <w:pPr>
        <w:pStyle w:val="1ShiftAlt"/>
        <w:spacing w:line="240" w:lineRule="auto"/>
        <w:ind w:left="6804"/>
        <w:jc w:val="both"/>
        <w:rPr>
          <w:rFonts w:cs="Times New Roman"/>
          <w:i w:val="0"/>
          <w:sz w:val="18"/>
          <w:szCs w:val="24"/>
        </w:rPr>
      </w:pPr>
      <w:r w:rsidRPr="00A9035F">
        <w:rPr>
          <w:rFonts w:cs="Times New Roman"/>
          <w:i w:val="0"/>
          <w:sz w:val="18"/>
          <w:szCs w:val="24"/>
        </w:rPr>
        <w:t xml:space="preserve">Додаток </w:t>
      </w:r>
      <w:r w:rsidR="00DD46BB" w:rsidRPr="00A9035F">
        <w:rPr>
          <w:rFonts w:cs="Times New Roman"/>
          <w:i w:val="0"/>
          <w:sz w:val="18"/>
          <w:szCs w:val="24"/>
          <w:lang w:val="ru-RU"/>
        </w:rPr>
        <w:t>3</w:t>
      </w:r>
      <w:r w:rsidRPr="00A9035F">
        <w:rPr>
          <w:rFonts w:cs="Times New Roman"/>
          <w:i w:val="0"/>
          <w:sz w:val="18"/>
          <w:szCs w:val="24"/>
        </w:rPr>
        <w:t xml:space="preserve"> </w:t>
      </w:r>
    </w:p>
    <w:p w14:paraId="720423A9" w14:textId="77777777" w:rsidR="00293DB8" w:rsidRPr="00A9035F" w:rsidRDefault="00293DB8" w:rsidP="00A9035F">
      <w:pPr>
        <w:pStyle w:val="1ShiftAlt"/>
        <w:spacing w:line="240" w:lineRule="auto"/>
        <w:ind w:left="6804"/>
        <w:jc w:val="both"/>
        <w:rPr>
          <w:rFonts w:cs="Times New Roman"/>
          <w:i w:val="0"/>
          <w:sz w:val="18"/>
          <w:szCs w:val="24"/>
        </w:rPr>
      </w:pPr>
      <w:r w:rsidRPr="00A9035F">
        <w:rPr>
          <w:rFonts w:cs="Times New Roman"/>
          <w:i w:val="0"/>
          <w:sz w:val="18"/>
          <w:szCs w:val="24"/>
        </w:rPr>
        <w:t xml:space="preserve">до Порядку організації планування </w:t>
      </w:r>
    </w:p>
    <w:p w14:paraId="23D8F013" w14:textId="77777777" w:rsidR="00293DB8" w:rsidRPr="00A9035F" w:rsidRDefault="00293DB8" w:rsidP="00A9035F">
      <w:pPr>
        <w:pStyle w:val="1ShiftAlt"/>
        <w:spacing w:line="240" w:lineRule="auto"/>
        <w:ind w:left="6804"/>
        <w:jc w:val="both"/>
        <w:rPr>
          <w:rFonts w:cs="Times New Roman"/>
          <w:i w:val="0"/>
          <w:sz w:val="18"/>
          <w:szCs w:val="24"/>
        </w:rPr>
      </w:pPr>
      <w:r w:rsidRPr="00A9035F">
        <w:rPr>
          <w:rFonts w:cs="Times New Roman"/>
          <w:i w:val="0"/>
          <w:sz w:val="18"/>
          <w:szCs w:val="24"/>
        </w:rPr>
        <w:t>та проведення публічних закупівель</w:t>
      </w:r>
    </w:p>
    <w:p w14:paraId="547ECF1C" w14:textId="77777777" w:rsidR="00293DB8" w:rsidRPr="00A9035F" w:rsidRDefault="00293DB8" w:rsidP="00A9035F">
      <w:pPr>
        <w:pStyle w:val="1ShiftAlt"/>
        <w:spacing w:line="240" w:lineRule="auto"/>
        <w:ind w:left="6804"/>
        <w:jc w:val="both"/>
        <w:rPr>
          <w:rFonts w:cs="Times New Roman"/>
          <w:i w:val="0"/>
          <w:sz w:val="18"/>
          <w:szCs w:val="24"/>
        </w:rPr>
      </w:pPr>
      <w:r w:rsidRPr="00A9035F">
        <w:rPr>
          <w:rFonts w:cs="Times New Roman"/>
          <w:i w:val="0"/>
          <w:sz w:val="18"/>
          <w:szCs w:val="24"/>
        </w:rPr>
        <w:t>в Державній митній службі України</w:t>
      </w:r>
    </w:p>
    <w:p w14:paraId="1FDC4695" w14:textId="77777777" w:rsidR="00293DB8" w:rsidRPr="00A9035F" w:rsidRDefault="00293DB8" w:rsidP="00A9035F">
      <w:pPr>
        <w:pStyle w:val="1ShiftAlt"/>
        <w:spacing w:line="240" w:lineRule="auto"/>
        <w:ind w:left="6804"/>
        <w:jc w:val="both"/>
        <w:rPr>
          <w:rFonts w:cs="Times New Roman"/>
          <w:i w:val="0"/>
          <w:sz w:val="18"/>
          <w:szCs w:val="24"/>
        </w:rPr>
      </w:pPr>
      <w:r w:rsidRPr="00A9035F">
        <w:rPr>
          <w:rFonts w:cs="Times New Roman"/>
          <w:i w:val="0"/>
          <w:sz w:val="18"/>
          <w:szCs w:val="24"/>
        </w:rPr>
        <w:t>(пункт 3.3 розділу ІІІ)</w:t>
      </w:r>
    </w:p>
    <w:p w14:paraId="608C7AB3" w14:textId="77777777"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14:paraId="084C0431" w14:textId="77777777" w:rsidR="009610A5" w:rsidRPr="00DB5D46" w:rsidRDefault="009610A5" w:rsidP="009610A5">
      <w:pPr>
        <w:pStyle w:val="1ShiftAlt"/>
        <w:rPr>
          <w:rFonts w:cs="Times New Roman"/>
          <w:i w:val="0"/>
          <w:sz w:val="20"/>
          <w:szCs w:val="24"/>
        </w:rPr>
      </w:pPr>
      <w:r w:rsidRPr="00DB5D46">
        <w:rPr>
          <w:rFonts w:cs="Times New Roman"/>
          <w:i w:val="0"/>
          <w:sz w:val="20"/>
          <w:szCs w:val="24"/>
        </w:rPr>
        <w:t>Форма</w:t>
      </w:r>
    </w:p>
    <w:p w14:paraId="67497323" w14:textId="77777777"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14:paraId="07D2ED6B" w14:textId="77777777"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1EAE455" w14:textId="77777777" w:rsidR="000A2178" w:rsidRPr="00293DB8" w:rsidRDefault="000A2178" w:rsidP="009610A5">
      <w:pPr>
        <w:pStyle w:val="1ShiftAlt"/>
        <w:jc w:val="center"/>
        <w:rPr>
          <w:rFonts w:cs="Times New Roman"/>
          <w:i w:val="0"/>
          <w:szCs w:val="24"/>
        </w:rPr>
      </w:pPr>
    </w:p>
    <w:p w14:paraId="6B466F23" w14:textId="1630F083" w:rsidR="009610A5" w:rsidRPr="009C3DE9" w:rsidRDefault="009610A5" w:rsidP="009C3DE9">
      <w:pPr>
        <w:pStyle w:val="a"/>
        <w:keepNext w:val="0"/>
        <w:spacing w:before="120"/>
        <w:jc w:val="both"/>
        <w:rPr>
          <w:b w:val="0"/>
          <w:sz w:val="24"/>
          <w:lang w:val="uk-UA"/>
        </w:rPr>
      </w:pPr>
      <w:r w:rsidRPr="00D82B1A">
        <w:rPr>
          <w:b w:val="0"/>
          <w:sz w:val="24"/>
          <w:lang w:val="uk-UA"/>
        </w:rPr>
        <w:t>Предмет закупівлі: (зазначається назва предмет</w:t>
      </w:r>
      <w:r w:rsidR="00D82B1A" w:rsidRPr="00D82B1A">
        <w:rPr>
          <w:b w:val="0"/>
          <w:sz w:val="24"/>
          <w:lang w:val="uk-UA"/>
        </w:rPr>
        <w:t>а</w:t>
      </w:r>
      <w:r w:rsidRPr="00D82B1A">
        <w:rPr>
          <w:b w:val="0"/>
          <w:sz w:val="24"/>
          <w:lang w:val="uk-UA"/>
        </w:rPr>
        <w:t xml:space="preserve"> закупівлі та код  ДК 021:2015 із застосуванням Єдиного закупівельного словника (див. п</w:t>
      </w:r>
      <w:r w:rsidR="00D82B1A" w:rsidRPr="00D82B1A">
        <w:rPr>
          <w:b w:val="0"/>
          <w:sz w:val="24"/>
          <w:lang w:val="uk-UA"/>
        </w:rPr>
        <w:t>ункт</w:t>
      </w:r>
      <w:r w:rsidRPr="00D82B1A">
        <w:rPr>
          <w:b w:val="0"/>
          <w:sz w:val="24"/>
          <w:lang w:val="uk-UA"/>
        </w:rPr>
        <w:t xml:space="preserve"> 2.3 розділу ІІ Порядку</w:t>
      </w:r>
      <w:r w:rsidR="00D82B1A" w:rsidRPr="00D82B1A">
        <w:rPr>
          <w:b w:val="0"/>
          <w:sz w:val="24"/>
          <w:lang w:val="uk-UA"/>
        </w:rPr>
        <w:t xml:space="preserve"> організації планування та проведення публічних закупівель в Державній митній службі України</w:t>
      </w:r>
      <w:r w:rsidRPr="00D82B1A">
        <w:rPr>
          <w:b w:val="0"/>
          <w:sz w:val="24"/>
          <w:lang w:val="uk-UA"/>
        </w:rPr>
        <w:t>))</w:t>
      </w:r>
      <w:r w:rsidR="001826DE">
        <w:rPr>
          <w:b w:val="0"/>
          <w:sz w:val="24"/>
          <w:lang w:val="uk-UA"/>
        </w:rPr>
        <w:t>:</w:t>
      </w:r>
      <w:r w:rsidR="001826DE" w:rsidRPr="001826DE">
        <w:rPr>
          <w:rFonts w:eastAsia="Calibri"/>
          <w:sz w:val="24"/>
          <w:lang w:val="uk-UA" w:eastAsia="en-US"/>
        </w:rPr>
        <w:t xml:space="preserve"> </w:t>
      </w:r>
      <w:r w:rsidR="00163D9F" w:rsidRPr="009C3DE9">
        <w:rPr>
          <w:rFonts w:eastAsia="Calibri"/>
          <w:b w:val="0"/>
          <w:sz w:val="24"/>
          <w:u w:val="single"/>
          <w:lang w:val="uk-UA" w:eastAsia="en-US"/>
        </w:rPr>
        <w:t>ДК 021:2015 50</w:t>
      </w:r>
      <w:r w:rsidR="00151F5A">
        <w:rPr>
          <w:rFonts w:eastAsia="Calibri"/>
          <w:b w:val="0"/>
          <w:sz w:val="24"/>
          <w:u w:val="single"/>
          <w:lang w:val="uk-UA" w:eastAsia="en-US"/>
        </w:rPr>
        <w:t>6</w:t>
      </w:r>
      <w:r w:rsidR="00163D9F" w:rsidRPr="009C3DE9">
        <w:rPr>
          <w:rFonts w:eastAsia="Calibri"/>
          <w:b w:val="0"/>
          <w:sz w:val="24"/>
          <w:u w:val="single"/>
          <w:lang w:val="uk-UA" w:eastAsia="en-US"/>
        </w:rPr>
        <w:t>10000-</w:t>
      </w:r>
      <w:r w:rsidR="00D134A8">
        <w:rPr>
          <w:rFonts w:eastAsia="Calibri"/>
          <w:b w:val="0"/>
          <w:sz w:val="24"/>
          <w:u w:val="single"/>
          <w:lang w:val="uk-UA" w:eastAsia="en-US"/>
        </w:rPr>
        <w:t>4</w:t>
      </w:r>
      <w:r w:rsidR="00163D9F" w:rsidRPr="009C3DE9">
        <w:rPr>
          <w:rFonts w:eastAsia="Calibri"/>
          <w:b w:val="0"/>
          <w:sz w:val="24"/>
          <w:u w:val="single"/>
          <w:lang w:val="uk-UA" w:eastAsia="en-US"/>
        </w:rPr>
        <w:t xml:space="preserve"> Послуги з ремонту і технічного обслуговування </w:t>
      </w:r>
      <w:r w:rsidR="00151F5A">
        <w:rPr>
          <w:rFonts w:eastAsia="Calibri"/>
          <w:b w:val="0"/>
          <w:sz w:val="24"/>
          <w:u w:val="single"/>
          <w:lang w:val="uk-UA" w:eastAsia="en-US"/>
        </w:rPr>
        <w:t xml:space="preserve">захисного обладнання </w:t>
      </w:r>
      <w:r w:rsidR="00163D9F" w:rsidRPr="009C3DE9">
        <w:rPr>
          <w:rFonts w:eastAsia="Calibri"/>
          <w:b w:val="0"/>
          <w:sz w:val="24"/>
          <w:u w:val="single"/>
          <w:lang w:val="uk-UA" w:eastAsia="en-US"/>
        </w:rPr>
        <w:t>(</w:t>
      </w:r>
      <w:r w:rsidR="00151F5A">
        <w:rPr>
          <w:rFonts w:eastAsia="Calibri"/>
          <w:b w:val="0"/>
          <w:sz w:val="24"/>
          <w:u w:val="single"/>
          <w:lang w:val="uk-UA" w:eastAsia="en-US"/>
        </w:rPr>
        <w:t xml:space="preserve">Послуги з </w:t>
      </w:r>
      <w:r w:rsidR="00651C0B">
        <w:rPr>
          <w:rFonts w:eastAsia="Calibri"/>
          <w:b w:val="0"/>
          <w:sz w:val="24"/>
          <w:u w:val="single"/>
          <w:lang w:val="uk-UA" w:eastAsia="en-US"/>
        </w:rPr>
        <w:t>технічного обслуговування</w:t>
      </w:r>
      <w:r w:rsidR="00151F5A">
        <w:rPr>
          <w:rFonts w:eastAsia="Calibri"/>
          <w:b w:val="0"/>
          <w:sz w:val="24"/>
          <w:u w:val="single"/>
          <w:lang w:val="uk-UA" w:eastAsia="en-US"/>
        </w:rPr>
        <w:t xml:space="preserve"> вогнегасників</w:t>
      </w:r>
      <w:r w:rsidR="00163D9F" w:rsidRPr="009C3DE9">
        <w:rPr>
          <w:rFonts w:eastAsia="Calibri"/>
          <w:b w:val="0"/>
          <w:sz w:val="24"/>
          <w:u w:val="single"/>
          <w:lang w:val="uk-UA" w:eastAsia="en-US"/>
        </w:rPr>
        <w:t>)</w:t>
      </w:r>
      <w:r w:rsidR="00C37471">
        <w:rPr>
          <w:rFonts w:eastAsia="Calibri"/>
          <w:b w:val="0"/>
          <w:sz w:val="24"/>
          <w:u w:val="single"/>
          <w:lang w:val="uk-UA" w:eastAsia="en-US"/>
        </w:rPr>
        <w:t xml:space="preserve">, ідентифікатор закупівлі </w:t>
      </w:r>
      <w:proofErr w:type="spellStart"/>
      <w:r w:rsidR="00C37471" w:rsidRPr="00C37471">
        <w:rPr>
          <w:rFonts w:eastAsia="Calibri"/>
          <w:b w:val="0"/>
          <w:sz w:val="24"/>
          <w:u w:val="single"/>
          <w:lang w:val="uk-UA" w:eastAsia="en-US"/>
        </w:rPr>
        <w:t>UA</w:t>
      </w:r>
      <w:proofErr w:type="spellEnd"/>
      <w:r w:rsidR="00C37471" w:rsidRPr="00C37471">
        <w:rPr>
          <w:rFonts w:eastAsia="Calibri"/>
          <w:b w:val="0"/>
          <w:sz w:val="24"/>
          <w:u w:val="single"/>
          <w:lang w:val="uk-UA" w:eastAsia="en-US"/>
        </w:rPr>
        <w:t>-2026-06-03-007989-a</w:t>
      </w:r>
      <w:r w:rsidR="001826DE" w:rsidRPr="009C3DE9">
        <w:rPr>
          <w:rFonts w:eastAsia="Calibri"/>
          <w:b w:val="0"/>
          <w:sz w:val="24"/>
          <w:u w:val="single"/>
          <w:lang w:val="uk-UA" w:eastAsia="en-US"/>
        </w:rPr>
        <w:t>.</w:t>
      </w:r>
    </w:p>
    <w:p w14:paraId="08227EE4" w14:textId="7AA8185C" w:rsidR="009610A5" w:rsidRPr="009C3DE9" w:rsidRDefault="009610A5" w:rsidP="009C3DE9">
      <w:pPr>
        <w:pStyle w:val="a"/>
        <w:keepNext w:val="0"/>
        <w:spacing w:before="120"/>
        <w:jc w:val="both"/>
        <w:rPr>
          <w:b w:val="0"/>
          <w:sz w:val="24"/>
          <w:lang w:val="uk-UA"/>
        </w:rPr>
      </w:pPr>
      <w:r w:rsidRPr="009C3DE9">
        <w:rPr>
          <w:b w:val="0"/>
          <w:sz w:val="24"/>
          <w:lang w:val="uk-UA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16188E" w:rsidRPr="009C3DE9">
        <w:rPr>
          <w:b w:val="0"/>
          <w:sz w:val="24"/>
          <w:lang w:val="uk-UA"/>
        </w:rPr>
        <w:t xml:space="preserve">: </w:t>
      </w:r>
      <w:r w:rsidR="00952199" w:rsidRPr="009C3DE9">
        <w:rPr>
          <w:b w:val="0"/>
          <w:sz w:val="24"/>
          <w:u w:val="single"/>
          <w:lang w:val="uk-UA"/>
        </w:rPr>
        <w:t>з</w:t>
      </w:r>
      <w:r w:rsidR="0016188E" w:rsidRPr="009C3DE9">
        <w:rPr>
          <w:b w:val="0"/>
          <w:bCs/>
          <w:iCs/>
          <w:sz w:val="24"/>
          <w:u w:val="single"/>
        </w:rPr>
        <w:t xml:space="preserve"> метою забезпечення належного </w:t>
      </w:r>
      <w:r w:rsidR="000450E1" w:rsidRPr="009C3DE9">
        <w:rPr>
          <w:b w:val="0"/>
          <w:bCs/>
          <w:iCs/>
          <w:sz w:val="24"/>
          <w:u w:val="single"/>
          <w:lang w:val="uk-UA"/>
        </w:rPr>
        <w:t>утримання об’єктів інфраструктури митниці</w:t>
      </w:r>
      <w:r w:rsidR="00F6089F">
        <w:rPr>
          <w:b w:val="0"/>
          <w:bCs/>
          <w:iCs/>
          <w:sz w:val="24"/>
          <w:u w:val="single"/>
          <w:lang w:val="uk-UA"/>
        </w:rPr>
        <w:t xml:space="preserve">, </w:t>
      </w:r>
      <w:r w:rsidR="000450E1" w:rsidRPr="009C3DE9">
        <w:rPr>
          <w:b w:val="0"/>
          <w:bCs/>
          <w:iCs/>
          <w:sz w:val="24"/>
          <w:u w:val="single"/>
          <w:lang w:val="uk-UA"/>
        </w:rPr>
        <w:t>відповідно</w:t>
      </w:r>
      <w:r w:rsidR="00F34129">
        <w:rPr>
          <w:b w:val="0"/>
          <w:bCs/>
          <w:iCs/>
          <w:sz w:val="24"/>
          <w:u w:val="single"/>
          <w:lang w:val="uk-UA"/>
        </w:rPr>
        <w:t xml:space="preserve"> </w:t>
      </w:r>
      <w:r w:rsidR="00F34129" w:rsidRPr="009C3DE9">
        <w:rPr>
          <w:b w:val="0"/>
          <w:bCs/>
          <w:iCs/>
          <w:sz w:val="24"/>
          <w:u w:val="single"/>
          <w:lang w:val="uk-UA"/>
        </w:rPr>
        <w:t xml:space="preserve">до </w:t>
      </w:r>
      <w:r w:rsidR="00F34129">
        <w:rPr>
          <w:b w:val="0"/>
          <w:bCs/>
          <w:iCs/>
          <w:sz w:val="24"/>
          <w:u w:val="single"/>
          <w:lang w:val="uk-UA"/>
        </w:rPr>
        <w:t>пункту 2.5. Положення про управління адміністративно-господарської</w:t>
      </w:r>
      <w:r w:rsidR="00CD64BF">
        <w:rPr>
          <w:b w:val="0"/>
          <w:bCs/>
          <w:iCs/>
          <w:sz w:val="24"/>
          <w:u w:val="single"/>
          <w:lang w:val="uk-UA"/>
        </w:rPr>
        <w:t xml:space="preserve"> </w:t>
      </w:r>
      <w:r w:rsidR="00F34129">
        <w:rPr>
          <w:b w:val="0"/>
          <w:bCs/>
          <w:iCs/>
          <w:sz w:val="24"/>
          <w:u w:val="single"/>
          <w:lang w:val="uk-UA"/>
        </w:rPr>
        <w:t>діяльності Волинської митниці,</w:t>
      </w:r>
      <w:r w:rsidR="000450E1" w:rsidRPr="009C3DE9">
        <w:rPr>
          <w:b w:val="0"/>
          <w:bCs/>
          <w:iCs/>
          <w:sz w:val="24"/>
          <w:u w:val="single"/>
          <w:lang w:val="uk-UA"/>
        </w:rPr>
        <w:t xml:space="preserve"> Кодексу цивільного захисту України від 2 жовтня 2012 року №5403-</w:t>
      </w:r>
      <w:r w:rsidR="000450E1" w:rsidRPr="009C3DE9">
        <w:rPr>
          <w:b w:val="0"/>
          <w:bCs/>
          <w:iCs/>
          <w:sz w:val="24"/>
          <w:u w:val="single"/>
          <w:lang w:val="en-US"/>
        </w:rPr>
        <w:t>VS</w:t>
      </w:r>
      <w:r w:rsidR="000450E1" w:rsidRPr="009C3DE9">
        <w:rPr>
          <w:b w:val="0"/>
          <w:bCs/>
          <w:iCs/>
          <w:sz w:val="24"/>
          <w:u w:val="single"/>
          <w:lang w:val="uk-UA"/>
        </w:rPr>
        <w:t xml:space="preserve">, </w:t>
      </w:r>
      <w:r w:rsidR="007358B4" w:rsidRPr="009C3DE9">
        <w:rPr>
          <w:b w:val="0"/>
          <w:bCs/>
          <w:iCs/>
          <w:sz w:val="24"/>
          <w:u w:val="single"/>
          <w:lang w:val="uk-UA"/>
        </w:rPr>
        <w:t>П</w:t>
      </w:r>
      <w:r w:rsidR="000450E1" w:rsidRPr="009C3DE9">
        <w:rPr>
          <w:b w:val="0"/>
          <w:bCs/>
          <w:iCs/>
          <w:sz w:val="24"/>
          <w:u w:val="single"/>
          <w:lang w:val="uk-UA"/>
        </w:rPr>
        <w:t>равил пожежної безпеки в Україні затверджені наказом Міністерства внутрішніх справ України від 30.11.2014 № 1417.</w:t>
      </w:r>
    </w:p>
    <w:p w14:paraId="2E6A96F8" w14:textId="77777777" w:rsidR="00440377" w:rsidRPr="009C3DE9" w:rsidRDefault="009610A5" w:rsidP="00964218">
      <w:pPr>
        <w:pStyle w:val="a"/>
        <w:keepNext w:val="0"/>
        <w:spacing w:before="0" w:after="0"/>
        <w:jc w:val="both"/>
        <w:rPr>
          <w:b w:val="0"/>
          <w:sz w:val="24"/>
          <w:u w:val="single"/>
          <w:lang w:eastAsia="zh-CN" w:bidi="hi-IN"/>
        </w:rPr>
      </w:pPr>
      <w:r w:rsidRPr="00964218">
        <w:rPr>
          <w:b w:val="0"/>
          <w:sz w:val="24"/>
          <w:lang w:val="uk-UA"/>
        </w:rPr>
        <w:t>Обґрунтування обсягів закупівлі</w:t>
      </w:r>
      <w:r w:rsidR="00440377">
        <w:rPr>
          <w:b w:val="0"/>
          <w:sz w:val="24"/>
          <w:lang w:val="uk-UA"/>
        </w:rPr>
        <w:t xml:space="preserve">: </w:t>
      </w:r>
      <w:r w:rsidR="00440377" w:rsidRPr="009C3DE9">
        <w:rPr>
          <w:b w:val="0"/>
          <w:sz w:val="24"/>
          <w:u w:val="single"/>
          <w:lang w:val="uk-UA"/>
        </w:rPr>
        <w:t>обсяги закупівлі визначено на підставі наявної потреби Замовника</w:t>
      </w:r>
      <w:r w:rsidR="004C246A" w:rsidRPr="009C3DE9">
        <w:rPr>
          <w:b w:val="0"/>
          <w:sz w:val="24"/>
          <w:u w:val="single"/>
          <w:lang w:val="uk-UA"/>
        </w:rPr>
        <w:t xml:space="preserve"> в</w:t>
      </w:r>
      <w:r w:rsidR="00CD1021">
        <w:rPr>
          <w:b w:val="0"/>
          <w:sz w:val="24"/>
          <w:u w:val="single"/>
          <w:lang w:val="uk-UA"/>
        </w:rPr>
        <w:t xml:space="preserve"> межах наявних кошторисних призначень</w:t>
      </w:r>
      <w:r w:rsidR="00046F83" w:rsidRPr="009C3DE9">
        <w:rPr>
          <w:b w:val="0"/>
          <w:sz w:val="24"/>
          <w:u w:val="single"/>
          <w:lang w:val="uk-UA"/>
        </w:rPr>
        <w:t>.</w:t>
      </w:r>
    </w:p>
    <w:p w14:paraId="4A2E6D07" w14:textId="77777777" w:rsidR="00440377" w:rsidRDefault="00440377" w:rsidP="00440377">
      <w:pPr>
        <w:pStyle w:val="aa"/>
        <w:rPr>
          <w:b/>
        </w:rPr>
      </w:pPr>
    </w:p>
    <w:p w14:paraId="72198393" w14:textId="77777777" w:rsidR="009610A5" w:rsidRPr="007358B4" w:rsidRDefault="006D7C29" w:rsidP="006D7C29">
      <w:pPr>
        <w:tabs>
          <w:tab w:val="left" w:pos="-5220"/>
        </w:tabs>
        <w:suppressAutoHyphens/>
        <w:ind w:firstLine="709"/>
        <w:jc w:val="both"/>
      </w:pPr>
      <w:r w:rsidRPr="00401870">
        <w:t xml:space="preserve">4. </w:t>
      </w:r>
      <w:r w:rsidR="009610A5" w:rsidRPr="00401870">
        <w:t xml:space="preserve">Обґрунтування технічних та </w:t>
      </w:r>
      <w:r w:rsidR="00D82B1A" w:rsidRPr="00401870">
        <w:t>якісних характеристик закупівлі</w:t>
      </w:r>
      <w:r w:rsidR="002A707E">
        <w:t>.</w:t>
      </w:r>
      <w:r w:rsidR="009610A5" w:rsidRPr="00401870">
        <w:t xml:space="preserve"> </w:t>
      </w:r>
      <w:r w:rsidR="002A707E" w:rsidRPr="009C3DE9">
        <w:rPr>
          <w:u w:val="single"/>
        </w:rPr>
        <w:t>Т</w:t>
      </w:r>
      <w:r w:rsidR="00440377" w:rsidRPr="009C3DE9">
        <w:rPr>
          <w:u w:val="single"/>
        </w:rPr>
        <w:t xml:space="preserve">ехнічні та </w:t>
      </w:r>
      <w:r w:rsidR="009610A5" w:rsidRPr="009C3DE9">
        <w:rPr>
          <w:u w:val="single"/>
        </w:rPr>
        <w:t xml:space="preserve">якісні характеристики </w:t>
      </w:r>
      <w:r w:rsidR="00440377" w:rsidRPr="009C3DE9">
        <w:rPr>
          <w:u w:val="single"/>
        </w:rPr>
        <w:t xml:space="preserve">предмета закупівлі </w:t>
      </w:r>
      <w:r w:rsidR="009610A5" w:rsidRPr="009C3DE9">
        <w:rPr>
          <w:u w:val="single"/>
        </w:rPr>
        <w:t xml:space="preserve">визначено відповідно до </w:t>
      </w:r>
      <w:r w:rsidRPr="009C3DE9">
        <w:rPr>
          <w:color w:val="00000A"/>
          <w:u w:val="single"/>
          <w:lang w:eastAsia="zh-CN" w:bidi="hi-IN"/>
        </w:rPr>
        <w:t>вимог</w:t>
      </w:r>
      <w:r w:rsidR="00151F5A">
        <w:rPr>
          <w:color w:val="00000A"/>
          <w:u w:val="single"/>
          <w:lang w:eastAsia="zh-CN" w:bidi="hi-IN"/>
        </w:rPr>
        <w:t xml:space="preserve"> </w:t>
      </w:r>
      <w:r w:rsidR="00300564" w:rsidRPr="00300564">
        <w:rPr>
          <w:u w:val="single"/>
        </w:rPr>
        <w:t>ДСТУ 4297-2004 «Пожежна техніка. Технічне обслуговування вогнегасників. Загальні технічні вимоги» і Правил експлуатації вогнегасників з метою забезпечення</w:t>
      </w:r>
      <w:r w:rsidR="002340EF">
        <w:rPr>
          <w:u w:val="single"/>
        </w:rPr>
        <w:t xml:space="preserve"> їх відповідності</w:t>
      </w:r>
      <w:r w:rsidR="00300564" w:rsidRPr="00300564">
        <w:rPr>
          <w:u w:val="single"/>
        </w:rPr>
        <w:t xml:space="preserve"> ДЧТУ 3675-98 (ДСТУ 3734-98), ГОСТ 12.2.037-78</w:t>
      </w:r>
      <w:r w:rsidR="002340EF">
        <w:rPr>
          <w:u w:val="single"/>
        </w:rPr>
        <w:t xml:space="preserve"> і</w:t>
      </w:r>
      <w:r w:rsidR="00300564" w:rsidRPr="00300564">
        <w:rPr>
          <w:u w:val="single"/>
        </w:rPr>
        <w:t xml:space="preserve"> технічни</w:t>
      </w:r>
      <w:r w:rsidR="002340EF">
        <w:rPr>
          <w:u w:val="single"/>
        </w:rPr>
        <w:t>м</w:t>
      </w:r>
      <w:r w:rsidR="00300564" w:rsidRPr="00300564">
        <w:rPr>
          <w:u w:val="single"/>
        </w:rPr>
        <w:t xml:space="preserve"> умо</w:t>
      </w:r>
      <w:r w:rsidR="00300564">
        <w:rPr>
          <w:u w:val="single"/>
        </w:rPr>
        <w:t>в</w:t>
      </w:r>
      <w:r w:rsidR="002340EF">
        <w:rPr>
          <w:u w:val="single"/>
        </w:rPr>
        <w:t>ам</w:t>
      </w:r>
      <w:r w:rsidR="00300564" w:rsidRPr="00300564">
        <w:rPr>
          <w:u w:val="single"/>
        </w:rPr>
        <w:t xml:space="preserve"> виробника</w:t>
      </w:r>
      <w:r w:rsidR="00300564">
        <w:rPr>
          <w:u w:val="single"/>
        </w:rPr>
        <w:t xml:space="preserve"> вогнегасників</w:t>
      </w:r>
      <w:r w:rsidR="00B57EA1" w:rsidRPr="00300564">
        <w:rPr>
          <w:color w:val="00000A"/>
          <w:u w:val="single"/>
          <w:lang w:eastAsia="zh-CN" w:bidi="hi-IN"/>
        </w:rPr>
        <w:t>,</w:t>
      </w:r>
      <w:r w:rsidR="00B57EA1" w:rsidRPr="009C3DE9">
        <w:rPr>
          <w:color w:val="00000A"/>
          <w:u w:val="single"/>
          <w:lang w:eastAsia="zh-CN" w:bidi="hi-IN"/>
        </w:rPr>
        <w:t xml:space="preserve"> </w:t>
      </w:r>
      <w:r w:rsidR="009610A5" w:rsidRPr="009C3DE9">
        <w:rPr>
          <w:u w:val="single"/>
        </w:rPr>
        <w:t xml:space="preserve">та з урахуванням загальноприйнятих норм і стандартів для </w:t>
      </w:r>
      <w:r w:rsidR="00440377" w:rsidRPr="009C3DE9">
        <w:rPr>
          <w:u w:val="single"/>
        </w:rPr>
        <w:t>зазначеного предмета закупівлі</w:t>
      </w:r>
      <w:r w:rsidR="009610A5" w:rsidRPr="009C3DE9">
        <w:rPr>
          <w:u w:val="single"/>
        </w:rPr>
        <w:t>.</w:t>
      </w:r>
    </w:p>
    <w:p w14:paraId="57D99D08" w14:textId="77777777" w:rsidR="009610A5" w:rsidRPr="007358B4" w:rsidRDefault="009610A5" w:rsidP="001826DE">
      <w:pPr>
        <w:pStyle w:val="a"/>
        <w:keepNext w:val="0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14:paraId="526A14D8" w14:textId="165E25B5" w:rsidR="0077630F" w:rsidRPr="00D4754C" w:rsidRDefault="009610A5" w:rsidP="0077630F">
      <w:pPr>
        <w:spacing w:before="120" w:after="120"/>
        <w:ind w:firstLine="709"/>
        <w:jc w:val="both"/>
        <w:rPr>
          <w:bCs/>
          <w:i/>
          <w:iCs/>
        </w:rPr>
      </w:pPr>
      <w:r w:rsidRPr="00B25403">
        <w:t xml:space="preserve">5. </w:t>
      </w:r>
      <w:r w:rsidR="0077630F" w:rsidRPr="00052F69">
        <w:rPr>
          <w:bCs/>
          <w:iCs/>
          <w:u w:val="single"/>
        </w:rPr>
        <w:t xml:space="preserve">Розрахунок очікуваної вартості здійснено на підставі </w:t>
      </w:r>
      <w:r w:rsidR="0077630F" w:rsidRPr="00E853C1">
        <w:rPr>
          <w:bCs/>
          <w:iCs/>
          <w:u w:val="single"/>
        </w:rPr>
        <w:t>моніторингу та аналізу загальнодоступної інформації, що міститься у відкритому доступі</w:t>
      </w:r>
      <w:r w:rsidR="0077630F">
        <w:rPr>
          <w:bCs/>
          <w:iCs/>
          <w:u w:val="single"/>
        </w:rPr>
        <w:t xml:space="preserve"> та інформації від постачальників зазначеного виду </w:t>
      </w:r>
      <w:r w:rsidR="00C37471">
        <w:rPr>
          <w:bCs/>
          <w:iCs/>
          <w:u w:val="single"/>
        </w:rPr>
        <w:t>послуг</w:t>
      </w:r>
      <w:r w:rsidR="0077630F" w:rsidRPr="00E853C1">
        <w:rPr>
          <w:bCs/>
          <w:iCs/>
          <w:u w:val="single"/>
        </w:rPr>
        <w:t>. Розрахунок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</w:t>
      </w:r>
      <w:r w:rsidR="0077630F">
        <w:rPr>
          <w:bCs/>
          <w:iCs/>
          <w:u w:val="single"/>
        </w:rPr>
        <w:t>арства України 18.02.2020 № 275</w:t>
      </w:r>
      <w:r w:rsidR="0077630F" w:rsidRPr="00052F69">
        <w:rPr>
          <w:bCs/>
          <w:iCs/>
          <w:u w:val="single"/>
        </w:rPr>
        <w:t xml:space="preserve">, вона становить </w:t>
      </w:r>
      <w:r w:rsidR="0077630F" w:rsidRPr="00651C0B">
        <w:rPr>
          <w:u w:val="single"/>
        </w:rPr>
        <w:t>28263</w:t>
      </w:r>
      <w:r w:rsidR="0077630F" w:rsidRPr="00052F69">
        <w:rPr>
          <w:bCs/>
          <w:iCs/>
          <w:u w:val="single"/>
        </w:rPr>
        <w:t>,00 грн. та відповідає розміру бюджетного призначення відповідно до розрахунку видатків до кошторису на 202</w:t>
      </w:r>
      <w:r w:rsidR="007C33C9">
        <w:rPr>
          <w:bCs/>
          <w:iCs/>
          <w:u w:val="single"/>
        </w:rPr>
        <w:t>6</w:t>
      </w:r>
      <w:r w:rsidR="0077630F" w:rsidRPr="00052F69">
        <w:rPr>
          <w:bCs/>
          <w:iCs/>
          <w:u w:val="single"/>
        </w:rPr>
        <w:t xml:space="preserve"> рік Волинської митниці за КЕКВ 22</w:t>
      </w:r>
      <w:r w:rsidR="0077630F">
        <w:rPr>
          <w:bCs/>
          <w:iCs/>
          <w:u w:val="single"/>
        </w:rPr>
        <w:t>4</w:t>
      </w:r>
      <w:r w:rsidR="0077630F" w:rsidRPr="00052F69">
        <w:rPr>
          <w:bCs/>
          <w:iCs/>
          <w:u w:val="single"/>
        </w:rPr>
        <w:t>0.</w:t>
      </w:r>
      <w:r w:rsidR="0077630F" w:rsidRPr="00D4754C">
        <w:rPr>
          <w:bCs/>
          <w:iCs/>
          <w:u w:val="single"/>
        </w:rPr>
        <w:t xml:space="preserve"> </w:t>
      </w:r>
    </w:p>
    <w:p w14:paraId="4AAE939C" w14:textId="77777777" w:rsidR="009610A5" w:rsidRPr="00B25403" w:rsidRDefault="009610A5" w:rsidP="001826DE">
      <w:pPr>
        <w:pStyle w:val="a"/>
        <w:keepNext w:val="0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sectPr w:rsidR="009610A5" w:rsidRPr="00B25403" w:rsidSect="00841B9C">
      <w:pgSz w:w="11906" w:h="16838" w:code="9"/>
      <w:pgMar w:top="567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CC12" w14:textId="77777777" w:rsidR="00390231" w:rsidRDefault="00390231">
      <w:r>
        <w:separator/>
      </w:r>
    </w:p>
  </w:endnote>
  <w:endnote w:type="continuationSeparator" w:id="0">
    <w:p w14:paraId="6E422F1F" w14:textId="77777777" w:rsidR="00390231" w:rsidRDefault="0039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61DE7" w14:textId="77777777" w:rsidR="00390231" w:rsidRDefault="00390231">
      <w:r>
        <w:separator/>
      </w:r>
    </w:p>
  </w:footnote>
  <w:footnote w:type="continuationSeparator" w:id="0">
    <w:p w14:paraId="739137F3" w14:textId="77777777" w:rsidR="00390231" w:rsidRDefault="00390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70412F52"/>
    <w:multiLevelType w:val="hybridMultilevel"/>
    <w:tmpl w:val="F8C2C874"/>
    <w:lvl w:ilvl="0" w:tplc="7A98A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63915432">
    <w:abstractNumId w:val="0"/>
  </w:num>
  <w:num w:numId="2" w16cid:durableId="150104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A5"/>
    <w:rsid w:val="000450E1"/>
    <w:rsid w:val="00046F83"/>
    <w:rsid w:val="000A2178"/>
    <w:rsid w:val="000C2707"/>
    <w:rsid w:val="000E5789"/>
    <w:rsid w:val="000F5363"/>
    <w:rsid w:val="00125FCD"/>
    <w:rsid w:val="00151F5A"/>
    <w:rsid w:val="0016188E"/>
    <w:rsid w:val="00163D9F"/>
    <w:rsid w:val="00174D09"/>
    <w:rsid w:val="001826DE"/>
    <w:rsid w:val="00185511"/>
    <w:rsid w:val="001E34C3"/>
    <w:rsid w:val="002340EF"/>
    <w:rsid w:val="00293DB8"/>
    <w:rsid w:val="002A707E"/>
    <w:rsid w:val="002E2BC4"/>
    <w:rsid w:val="002F1698"/>
    <w:rsid w:val="002F3EB6"/>
    <w:rsid w:val="00300564"/>
    <w:rsid w:val="00340822"/>
    <w:rsid w:val="003560E1"/>
    <w:rsid w:val="00390231"/>
    <w:rsid w:val="00401870"/>
    <w:rsid w:val="00412090"/>
    <w:rsid w:val="00436859"/>
    <w:rsid w:val="00440377"/>
    <w:rsid w:val="00496F3A"/>
    <w:rsid w:val="004C246A"/>
    <w:rsid w:val="00566E21"/>
    <w:rsid w:val="005F3A29"/>
    <w:rsid w:val="00605369"/>
    <w:rsid w:val="00623566"/>
    <w:rsid w:val="00647930"/>
    <w:rsid w:val="00650922"/>
    <w:rsid w:val="00651C0B"/>
    <w:rsid w:val="00695754"/>
    <w:rsid w:val="006B17CF"/>
    <w:rsid w:val="006D7C29"/>
    <w:rsid w:val="006F6AE8"/>
    <w:rsid w:val="007358B4"/>
    <w:rsid w:val="0077630F"/>
    <w:rsid w:val="007C33C9"/>
    <w:rsid w:val="008101A5"/>
    <w:rsid w:val="008217F8"/>
    <w:rsid w:val="008416B6"/>
    <w:rsid w:val="00841B9C"/>
    <w:rsid w:val="00847E0C"/>
    <w:rsid w:val="008D7EE4"/>
    <w:rsid w:val="008F0502"/>
    <w:rsid w:val="009258BA"/>
    <w:rsid w:val="00952199"/>
    <w:rsid w:val="00953829"/>
    <w:rsid w:val="009610A5"/>
    <w:rsid w:val="00964218"/>
    <w:rsid w:val="009C3DE9"/>
    <w:rsid w:val="00A3163B"/>
    <w:rsid w:val="00A3492E"/>
    <w:rsid w:val="00A8155B"/>
    <w:rsid w:val="00A9035F"/>
    <w:rsid w:val="00AB750E"/>
    <w:rsid w:val="00AC2412"/>
    <w:rsid w:val="00B25403"/>
    <w:rsid w:val="00B57EA1"/>
    <w:rsid w:val="00B65A8A"/>
    <w:rsid w:val="00C37471"/>
    <w:rsid w:val="00C5358C"/>
    <w:rsid w:val="00CD1021"/>
    <w:rsid w:val="00CD64BF"/>
    <w:rsid w:val="00CD76F5"/>
    <w:rsid w:val="00CE6CFD"/>
    <w:rsid w:val="00D024A2"/>
    <w:rsid w:val="00D134A8"/>
    <w:rsid w:val="00D82B1A"/>
    <w:rsid w:val="00DB5D46"/>
    <w:rsid w:val="00DD46BB"/>
    <w:rsid w:val="00E33955"/>
    <w:rsid w:val="00E84CEC"/>
    <w:rsid w:val="00EA7F4D"/>
    <w:rsid w:val="00EB60AF"/>
    <w:rsid w:val="00EF4785"/>
    <w:rsid w:val="00F23C3D"/>
    <w:rsid w:val="00F34129"/>
    <w:rsid w:val="00F55DE2"/>
    <w:rsid w:val="00F6089F"/>
    <w:rsid w:val="00F70EBD"/>
    <w:rsid w:val="00F96AF8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C325"/>
  <w15:docId w15:val="{BC3327F9-BEED-4375-8F45-F4C76D7F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Хомяк Ольга Дмитрівна</cp:lastModifiedBy>
  <cp:revision>2</cp:revision>
  <cp:lastPrinted>2025-07-29T08:18:00Z</cp:lastPrinted>
  <dcterms:created xsi:type="dcterms:W3CDTF">2026-06-04T11:28:00Z</dcterms:created>
  <dcterms:modified xsi:type="dcterms:W3CDTF">2026-06-04T11:28:00Z</dcterms:modified>
</cp:coreProperties>
</file>