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1C43E8AA" w:rsidR="001A0275" w:rsidRPr="00EB730F" w:rsidRDefault="001A0275" w:rsidP="001A0275">
      <w:pPr>
        <w:jc w:val="center"/>
        <w:rPr>
          <w:b/>
          <w:spacing w:val="-10"/>
          <w:sz w:val="26"/>
          <w:szCs w:val="26"/>
        </w:rPr>
      </w:pPr>
      <w:r w:rsidRPr="00EB730F">
        <w:rPr>
          <w:b/>
          <w:spacing w:val="-10"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F90EE4">
        <w:rPr>
          <w:b/>
          <w:spacing w:val="-10"/>
          <w:sz w:val="26"/>
          <w:szCs w:val="26"/>
        </w:rPr>
        <w:t>*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</w:rPr>
      </w:pPr>
      <w:r w:rsidRPr="00EB730F">
        <w:rPr>
          <w:bCs/>
          <w:spacing w:val="-10"/>
          <w:sz w:val="26"/>
          <w:szCs w:val="26"/>
        </w:rPr>
        <w:t xml:space="preserve">(відповідно до пункту </w:t>
      </w:r>
      <w:r w:rsidR="00D71218" w:rsidRPr="00EB730F">
        <w:rPr>
          <w:sz w:val="26"/>
          <w:szCs w:val="26"/>
        </w:rPr>
        <w:t>4</w:t>
      </w:r>
      <w:r w:rsidR="00D71218" w:rsidRPr="00EB730F">
        <w:rPr>
          <w:sz w:val="26"/>
          <w:szCs w:val="26"/>
          <w:vertAlign w:val="superscript"/>
        </w:rPr>
        <w:t>1</w:t>
      </w:r>
      <w:r w:rsidRPr="00EB730F">
        <w:rPr>
          <w:bCs/>
          <w:spacing w:val="-10"/>
          <w:sz w:val="26"/>
          <w:szCs w:val="26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</w:rPr>
      </w:pPr>
    </w:p>
    <w:p w14:paraId="687EA560" w14:textId="716CCB74" w:rsidR="0084104F" w:rsidRPr="00677C7A" w:rsidRDefault="000C10DF" w:rsidP="00E41B49">
      <w:pPr>
        <w:rPr>
          <w:b/>
          <w:bCs/>
          <w:sz w:val="24"/>
          <w:szCs w:val="24"/>
        </w:rPr>
      </w:pPr>
      <w:r w:rsidRPr="00677C7A">
        <w:rPr>
          <w:color w:val="000000"/>
          <w:sz w:val="24"/>
          <w:szCs w:val="24"/>
        </w:rPr>
        <w:t>Ідентифікатор закупівлі:</w:t>
      </w:r>
      <w:r w:rsidR="009A585B" w:rsidRPr="009A585B">
        <w:t xml:space="preserve"> </w:t>
      </w:r>
      <w:r w:rsidR="009A585B" w:rsidRPr="009A585B">
        <w:rPr>
          <w:color w:val="000000"/>
          <w:sz w:val="24"/>
          <w:szCs w:val="24"/>
          <w:lang w:val="en-US"/>
        </w:rPr>
        <w:t>UA-2026-0</w:t>
      </w:r>
      <w:r w:rsidR="004855A7">
        <w:rPr>
          <w:color w:val="000000"/>
          <w:sz w:val="24"/>
          <w:szCs w:val="24"/>
        </w:rPr>
        <w:t>6-</w:t>
      </w:r>
      <w:r w:rsidR="0077793A">
        <w:rPr>
          <w:color w:val="000000"/>
          <w:sz w:val="24"/>
          <w:szCs w:val="24"/>
        </w:rPr>
        <w:t>1</w:t>
      </w:r>
      <w:r w:rsidR="006D3430">
        <w:rPr>
          <w:color w:val="000000"/>
          <w:sz w:val="24"/>
          <w:szCs w:val="24"/>
        </w:rPr>
        <w:t>1</w:t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8E011F">
        <w:rPr>
          <w:color w:val="000000"/>
          <w:sz w:val="24"/>
          <w:szCs w:val="24"/>
        </w:rPr>
        <w:t>-00</w:t>
      </w:r>
      <w:r w:rsidR="005871FF">
        <w:rPr>
          <w:color w:val="000000"/>
          <w:sz w:val="24"/>
          <w:szCs w:val="24"/>
        </w:rPr>
        <w:t>0356</w:t>
      </w:r>
      <w:r w:rsidR="009A585B" w:rsidRPr="009A585B">
        <w:rPr>
          <w:color w:val="000000"/>
          <w:sz w:val="24"/>
          <w:szCs w:val="24"/>
          <w:lang w:val="en-US"/>
        </w:rPr>
        <w:t xml:space="preserve">-a   </w:t>
      </w:r>
    </w:p>
    <w:p w14:paraId="74558B78" w14:textId="39475848" w:rsidR="0084104F" w:rsidRPr="00677C7A" w:rsidRDefault="0084104F" w:rsidP="0084104F">
      <w:pPr>
        <w:rPr>
          <w:color w:val="000000"/>
          <w:sz w:val="24"/>
          <w:szCs w:val="24"/>
        </w:rPr>
      </w:pPr>
      <w:r w:rsidRPr="00677C7A">
        <w:rPr>
          <w:color w:val="000000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646"/>
      </w:tblGrid>
      <w:tr w:rsidR="004855A7" w:rsidRPr="004855A7" w14:paraId="7B880630" w14:textId="77777777" w:rsidTr="0077793A">
        <w:trPr>
          <w:trHeight w:val="774"/>
        </w:trPr>
        <w:tc>
          <w:tcPr>
            <w:tcW w:w="1668" w:type="dxa"/>
            <w:shd w:val="clear" w:color="auto" w:fill="auto"/>
          </w:tcPr>
          <w:p w14:paraId="5D48E2DD" w14:textId="46D749EB" w:rsidR="001055F9" w:rsidRPr="002502F7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 Назва предмета закупівлі</w:t>
            </w:r>
          </w:p>
        </w:tc>
        <w:tc>
          <w:tcPr>
            <w:tcW w:w="8646" w:type="dxa"/>
            <w:shd w:val="clear" w:color="auto" w:fill="auto"/>
          </w:tcPr>
          <w:p w14:paraId="35FCD1CC" w14:textId="77777777" w:rsidR="0077793A" w:rsidRDefault="0077793A" w:rsidP="0077793A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7793A">
              <w:rPr>
                <w:sz w:val="24"/>
                <w:szCs w:val="24"/>
              </w:rPr>
              <w:t xml:space="preserve">Тестер для акумуляторів </w:t>
            </w:r>
          </w:p>
          <w:p w14:paraId="5034254E" w14:textId="59A7831C" w:rsidR="001055F9" w:rsidRPr="002502F7" w:rsidRDefault="001055F9" w:rsidP="0077793A">
            <w:pPr>
              <w:widowControl w:val="0"/>
              <w:spacing w:before="120" w:after="120"/>
              <w:jc w:val="both"/>
              <w:rPr>
                <w:rFonts w:eastAsia="Arial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Код згідно з ДК 021:2015</w:t>
            </w:r>
            <w:r w:rsidR="00EE615D" w:rsidRPr="002502F7">
              <w:rPr>
                <w:spacing w:val="-10"/>
                <w:sz w:val="24"/>
                <w:szCs w:val="24"/>
              </w:rPr>
              <w:t xml:space="preserve"> </w:t>
            </w:r>
            <w:r w:rsidR="00F90EE4" w:rsidRPr="002502F7">
              <w:rPr>
                <w:spacing w:val="-10"/>
                <w:sz w:val="24"/>
                <w:szCs w:val="24"/>
              </w:rPr>
              <w:t xml:space="preserve">– </w:t>
            </w:r>
            <w:r w:rsidR="0077793A" w:rsidRPr="0077793A">
              <w:rPr>
                <w:spacing w:val="-10"/>
                <w:sz w:val="24"/>
                <w:szCs w:val="24"/>
              </w:rPr>
              <w:t>38340000-0  Прилади для вимірювання величин.</w:t>
            </w:r>
          </w:p>
        </w:tc>
      </w:tr>
      <w:tr w:rsidR="004855A7" w:rsidRPr="004855A7" w14:paraId="451FF6B5" w14:textId="77777777" w:rsidTr="0077793A">
        <w:trPr>
          <w:trHeight w:val="2534"/>
        </w:trPr>
        <w:tc>
          <w:tcPr>
            <w:tcW w:w="1668" w:type="dxa"/>
            <w:shd w:val="clear" w:color="auto" w:fill="auto"/>
          </w:tcPr>
          <w:p w14:paraId="524F451E" w14:textId="45D8B9E7" w:rsidR="00D477D9" w:rsidRPr="002502F7" w:rsidRDefault="00D477D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8646" w:type="dxa"/>
            <w:shd w:val="clear" w:color="auto" w:fill="auto"/>
          </w:tcPr>
          <w:p w14:paraId="369D3CA1" w14:textId="45283D38" w:rsidR="00D477D9" w:rsidRPr="002502F7" w:rsidRDefault="00D477D9" w:rsidP="0079368A">
            <w:pPr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 xml:space="preserve">Згідно кошторису Чернігівської митниці на 2026 рік за КПКВК 3506010 «Керівництво та управління у сфері митної політики» (загальний фонд) за КЕКВ 2210 «Предмети, матеріали, обладнання та інвентар» існує потреба у здійсненні закупівлі </w:t>
            </w:r>
            <w:r w:rsidR="0077793A">
              <w:rPr>
                <w:spacing w:val="-10"/>
                <w:sz w:val="24"/>
                <w:szCs w:val="24"/>
              </w:rPr>
              <w:t>тестера для акумуляторів, щоб перевіряти їх стан.</w:t>
            </w:r>
          </w:p>
          <w:p w14:paraId="1B145A67" w14:textId="45C0A6BD" w:rsidR="00D477D9" w:rsidRPr="002502F7" w:rsidRDefault="00D477D9" w:rsidP="0079368A">
            <w:pPr>
              <w:jc w:val="both"/>
              <w:rPr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 xml:space="preserve">Розмір бюджетного призначення – </w:t>
            </w:r>
            <w:r w:rsidR="0077793A">
              <w:rPr>
                <w:spacing w:val="-10"/>
                <w:sz w:val="24"/>
                <w:szCs w:val="24"/>
              </w:rPr>
              <w:t>2 750</w:t>
            </w:r>
            <w:r w:rsidR="004855A7" w:rsidRPr="002502F7">
              <w:rPr>
                <w:spacing w:val="-10"/>
                <w:sz w:val="24"/>
                <w:szCs w:val="24"/>
              </w:rPr>
              <w:t>,00</w:t>
            </w:r>
            <w:r w:rsidRPr="002502F7">
              <w:rPr>
                <w:spacing w:val="-10"/>
                <w:sz w:val="24"/>
                <w:szCs w:val="24"/>
              </w:rPr>
              <w:t xml:space="preserve"> гр</w:t>
            </w:r>
            <w:r w:rsidR="00CF62BC" w:rsidRPr="002502F7">
              <w:rPr>
                <w:spacing w:val="-10"/>
                <w:sz w:val="24"/>
                <w:szCs w:val="24"/>
              </w:rPr>
              <w:t>н</w:t>
            </w:r>
            <w:r w:rsidRPr="002502F7">
              <w:rPr>
                <w:spacing w:val="-10"/>
                <w:sz w:val="24"/>
                <w:szCs w:val="24"/>
              </w:rPr>
              <w:t>.</w:t>
            </w:r>
          </w:p>
          <w:p w14:paraId="76DCE659" w14:textId="21E6DB38" w:rsidR="00D477D9" w:rsidRPr="002502F7" w:rsidRDefault="00D477D9" w:rsidP="004855A7">
            <w:pPr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77793A">
              <w:rPr>
                <w:spacing w:val="-10"/>
                <w:sz w:val="24"/>
                <w:szCs w:val="24"/>
              </w:rPr>
              <w:t>2 750,</w:t>
            </w:r>
            <w:r w:rsidR="004855A7" w:rsidRPr="002502F7">
              <w:rPr>
                <w:spacing w:val="-10"/>
                <w:sz w:val="24"/>
                <w:szCs w:val="24"/>
              </w:rPr>
              <w:t>00</w:t>
            </w:r>
            <w:r w:rsidR="00CF62BC" w:rsidRPr="002502F7">
              <w:rPr>
                <w:spacing w:val="-10"/>
                <w:sz w:val="24"/>
                <w:szCs w:val="24"/>
              </w:rPr>
              <w:t xml:space="preserve"> </w:t>
            </w:r>
            <w:r w:rsidRPr="002502F7">
              <w:rPr>
                <w:spacing w:val="-10"/>
                <w:sz w:val="24"/>
                <w:szCs w:val="24"/>
              </w:rPr>
              <w:t>грн</w:t>
            </w:r>
            <w:r w:rsidR="009E307F" w:rsidRPr="002502F7">
              <w:rPr>
                <w:spacing w:val="-10"/>
                <w:sz w:val="24"/>
                <w:szCs w:val="24"/>
              </w:rPr>
              <w:t>.</w:t>
            </w:r>
          </w:p>
          <w:p w14:paraId="57006498" w14:textId="3F2ED1BD" w:rsidR="00D477D9" w:rsidRPr="002502F7" w:rsidRDefault="00D477D9" w:rsidP="00D17084">
            <w:pPr>
              <w:jc w:val="both"/>
              <w:rPr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</w:t>
            </w:r>
            <w:r w:rsidR="00A253AF" w:rsidRPr="002502F7">
              <w:rPr>
                <w:spacing w:val="-10"/>
                <w:sz w:val="24"/>
                <w:szCs w:val="24"/>
              </w:rPr>
              <w:t>.</w:t>
            </w:r>
          </w:p>
        </w:tc>
      </w:tr>
      <w:tr w:rsidR="004855A7" w:rsidRPr="002502F7" w14:paraId="7002EB37" w14:textId="77777777" w:rsidTr="0077793A">
        <w:trPr>
          <w:trHeight w:val="4814"/>
        </w:trPr>
        <w:tc>
          <w:tcPr>
            <w:tcW w:w="1668" w:type="dxa"/>
            <w:shd w:val="clear" w:color="auto" w:fill="auto"/>
          </w:tcPr>
          <w:p w14:paraId="601A5E2E" w14:textId="3CAE8CB9" w:rsidR="004D6316" w:rsidRPr="002502F7" w:rsidRDefault="004D6316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  <w:shd w:val="clear" w:color="auto" w:fill="auto"/>
          </w:tcPr>
          <w:p w14:paraId="3E33384E" w14:textId="7FC523FB" w:rsidR="004D6316" w:rsidRPr="002502F7" w:rsidRDefault="004D6316" w:rsidP="001204ED">
            <w:pPr>
              <w:rPr>
                <w:sz w:val="24"/>
                <w:szCs w:val="24"/>
              </w:rPr>
            </w:pPr>
            <w:r w:rsidRPr="002502F7">
              <w:rPr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замовника.</w:t>
            </w:r>
          </w:p>
          <w:p w14:paraId="4CA510F2" w14:textId="1BBACFCE" w:rsidR="00ED750B" w:rsidRDefault="00ED750B" w:rsidP="00ED750B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</w:p>
          <w:p w14:paraId="68C2DB6A" w14:textId="16685996" w:rsidR="0077793A" w:rsidRDefault="0077793A" w:rsidP="00ED750B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</w:p>
          <w:p w14:paraId="461FBE6D" w14:textId="77777777" w:rsidR="0077793A" w:rsidRPr="0085119B" w:rsidRDefault="0077793A" w:rsidP="0077793A">
            <w:pPr>
              <w:spacing w:after="120"/>
              <w:jc w:val="center"/>
              <w:rPr>
                <w:sz w:val="24"/>
                <w:szCs w:val="24"/>
              </w:rPr>
            </w:pPr>
            <w:r w:rsidRPr="0085119B">
              <w:rPr>
                <w:b/>
                <w:sz w:val="24"/>
                <w:szCs w:val="24"/>
              </w:rPr>
              <w:t>Номенклатурна позиція:</w:t>
            </w:r>
          </w:p>
          <w:tbl>
            <w:tblPr>
              <w:tblW w:w="8067" w:type="dxa"/>
              <w:jc w:val="center"/>
              <w:tblLayout w:type="fixed"/>
              <w:tblLook w:val="0400" w:firstRow="0" w:lastRow="0" w:firstColumn="0" w:lastColumn="0" w:noHBand="0" w:noVBand="1"/>
            </w:tblPr>
            <w:tblGrid>
              <w:gridCol w:w="459"/>
              <w:gridCol w:w="1905"/>
              <w:gridCol w:w="3685"/>
              <w:gridCol w:w="992"/>
              <w:gridCol w:w="1026"/>
            </w:tblGrid>
            <w:tr w:rsidR="0077793A" w:rsidRPr="00217ECD" w14:paraId="19D210A1" w14:textId="77777777" w:rsidTr="0077793A">
              <w:trPr>
                <w:trHeight w:val="284"/>
                <w:jc w:val="center"/>
              </w:trPr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D934B0" w14:textId="77777777" w:rsidR="0077793A" w:rsidRPr="0085119B" w:rsidRDefault="0077793A" w:rsidP="0077793A">
                  <w:pPr>
                    <w:ind w:right="18"/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9C71CA8" w14:textId="77777777" w:rsidR="0077793A" w:rsidRPr="0085119B" w:rsidRDefault="0077793A" w:rsidP="0077793A">
                  <w:pPr>
                    <w:ind w:right="18"/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b/>
                      <w:sz w:val="24"/>
                      <w:szCs w:val="24"/>
                    </w:rPr>
                    <w:t>Назва товару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6A30EE8" w14:textId="77777777" w:rsidR="0077793A" w:rsidRPr="0085119B" w:rsidRDefault="0077793A" w:rsidP="0077793A">
                  <w:pPr>
                    <w:ind w:right="18"/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b/>
                      <w:sz w:val="24"/>
                      <w:szCs w:val="24"/>
                    </w:rPr>
                    <w:t>Код за ДК 021:2015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7FA4C3" w14:textId="77777777" w:rsidR="0077793A" w:rsidRPr="0085119B" w:rsidRDefault="0077793A" w:rsidP="0077793A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b/>
                      <w:sz w:val="24"/>
                      <w:szCs w:val="24"/>
                    </w:rPr>
                    <w:t>Кількість товару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E09572" w14:textId="77777777" w:rsidR="0077793A" w:rsidRPr="0085119B" w:rsidRDefault="0077793A" w:rsidP="0077793A">
                  <w:pPr>
                    <w:ind w:right="51"/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</w:tr>
            <w:tr w:rsidR="0077793A" w:rsidRPr="00217ECD" w14:paraId="03B82F5F" w14:textId="77777777" w:rsidTr="0077793A">
              <w:trPr>
                <w:trHeight w:val="671"/>
                <w:jc w:val="center"/>
              </w:trPr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AD4BEA4" w14:textId="77777777" w:rsidR="0077793A" w:rsidRPr="0085119B" w:rsidRDefault="0077793A" w:rsidP="0077793A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A25E5D" w14:textId="77777777" w:rsidR="0077793A" w:rsidRPr="0085119B" w:rsidRDefault="0077793A" w:rsidP="0077793A">
                  <w:pPr>
                    <w:pStyle w:val="ad"/>
                    <w:spacing w:before="40" w:after="4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85119B">
                    <w:rPr>
                      <w:rFonts w:ascii="Times New Roman" w:hAnsi="Times New Roman"/>
                    </w:rPr>
                    <w:t>Тестер для акумуляторів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60AE5E1" w14:textId="77777777" w:rsidR="0077793A" w:rsidRPr="0085119B" w:rsidRDefault="0077793A" w:rsidP="0077793A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sz w:val="24"/>
                      <w:szCs w:val="24"/>
                    </w:rPr>
                    <w:t>38341300 - 0 Прилади для вимірювання електричних величин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B21EF9D" w14:textId="77777777" w:rsidR="0077793A" w:rsidRPr="0085119B" w:rsidRDefault="0077793A" w:rsidP="0077793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85119B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FF20BB6" w14:textId="77777777" w:rsidR="0077793A" w:rsidRPr="0085119B" w:rsidRDefault="0077793A" w:rsidP="0077793A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sz w:val="24"/>
                      <w:szCs w:val="24"/>
                    </w:rPr>
                    <w:t>штука</w:t>
                  </w:r>
                </w:p>
              </w:tc>
            </w:tr>
          </w:tbl>
          <w:p w14:paraId="4BFDF281" w14:textId="77777777" w:rsidR="0077793A" w:rsidRDefault="0077793A" w:rsidP="0077793A">
            <w:pPr>
              <w:pStyle w:val="1"/>
              <w:tabs>
                <w:tab w:val="left" w:pos="0"/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jc w:val="center"/>
              <w:rPr>
                <w:rFonts w:cs="Arial"/>
                <w:b/>
                <w:bCs/>
                <w:lang w:eastAsia="uk-UA"/>
              </w:rPr>
            </w:pPr>
            <w:r>
              <w:rPr>
                <w:rFonts w:cs="Arial"/>
                <w:b/>
                <w:bCs/>
                <w:lang w:eastAsia="uk-UA"/>
              </w:rPr>
              <w:t xml:space="preserve">         </w:t>
            </w:r>
          </w:p>
          <w:p w14:paraId="684D1208" w14:textId="77777777" w:rsidR="0077793A" w:rsidRDefault="0077793A" w:rsidP="0077793A">
            <w:pPr>
              <w:pStyle w:val="1"/>
              <w:tabs>
                <w:tab w:val="left" w:pos="0"/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jc w:val="center"/>
              <w:rPr>
                <w:rFonts w:cs="Arial"/>
                <w:b/>
                <w:bCs/>
                <w:lang w:eastAsia="uk-UA"/>
              </w:rPr>
            </w:pPr>
            <w:r>
              <w:rPr>
                <w:rFonts w:cs="Arial"/>
                <w:b/>
                <w:bCs/>
                <w:lang w:eastAsia="uk-UA"/>
              </w:rPr>
              <w:t xml:space="preserve">                  </w:t>
            </w:r>
            <w:r w:rsidRPr="0085119B">
              <w:rPr>
                <w:rFonts w:cs="Arial"/>
                <w:b/>
                <w:bCs/>
                <w:lang w:eastAsia="uk-UA"/>
              </w:rPr>
              <w:t>Технічна специфікація</w:t>
            </w:r>
          </w:p>
          <w:p w14:paraId="6FB9AE92" w14:textId="77777777" w:rsidR="0077793A" w:rsidRPr="0085119B" w:rsidRDefault="0077793A" w:rsidP="0077793A">
            <w:pPr>
              <w:pStyle w:val="1"/>
              <w:tabs>
                <w:tab w:val="left" w:pos="0"/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jc w:val="center"/>
              <w:rPr>
                <w:rFonts w:cs="Arial"/>
                <w:b/>
                <w:bCs/>
                <w:lang w:eastAsia="uk-UA"/>
              </w:rPr>
            </w:pPr>
          </w:p>
          <w:p w14:paraId="416B05EF" w14:textId="77777777" w:rsidR="0077793A" w:rsidRPr="0085119B" w:rsidRDefault="0077793A" w:rsidP="0077793A">
            <w:pPr>
              <w:pStyle w:val="1"/>
              <w:tabs>
                <w:tab w:val="left" w:pos="0"/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ind w:left="714" w:firstLine="567"/>
              <w:jc w:val="center"/>
              <w:rPr>
                <w:b/>
                <w:bCs/>
                <w:sz w:val="12"/>
                <w:szCs w:val="12"/>
              </w:rPr>
            </w:pPr>
            <w:r w:rsidRPr="0085119B">
              <w:rPr>
                <w:rFonts w:cs="Arial"/>
                <w:b/>
                <w:bCs/>
                <w:lang w:eastAsia="uk-UA"/>
              </w:rPr>
              <w:t>Вимоги замовника до товару: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4743"/>
            </w:tblGrid>
            <w:tr w:rsidR="0077793A" w14:paraId="5DAAC0F8" w14:textId="77777777" w:rsidTr="0077793A">
              <w:tc>
                <w:tcPr>
                  <w:tcW w:w="3510" w:type="dxa"/>
                </w:tcPr>
                <w:p w14:paraId="41CF7512" w14:textId="77777777" w:rsidR="0077793A" w:rsidRPr="00D01472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b/>
                      <w:bCs/>
                      <w:noProof/>
                    </w:rPr>
                  </w:pPr>
                  <w:r w:rsidRPr="00D01472">
                    <w:rPr>
                      <w:b/>
                      <w:bCs/>
                      <w:noProof/>
                    </w:rPr>
                    <w:t xml:space="preserve">Назва </w:t>
                  </w:r>
                  <w:r>
                    <w:rPr>
                      <w:b/>
                      <w:bCs/>
                      <w:noProof/>
                    </w:rPr>
                    <w:t>параметра</w:t>
                  </w:r>
                </w:p>
              </w:tc>
              <w:tc>
                <w:tcPr>
                  <w:tcW w:w="4743" w:type="dxa"/>
                </w:tcPr>
                <w:p w14:paraId="4ECB05CF" w14:textId="77777777" w:rsidR="0077793A" w:rsidRPr="00D01472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b/>
                      <w:bCs/>
                      <w:noProof/>
                    </w:rPr>
                  </w:pPr>
                  <w:r w:rsidRPr="00D01472">
                    <w:rPr>
                      <w:b/>
                      <w:bCs/>
                      <w:noProof/>
                    </w:rPr>
                    <w:t>Технічні характеристики</w:t>
                  </w:r>
                </w:p>
              </w:tc>
            </w:tr>
            <w:tr w:rsidR="0077793A" w14:paraId="7DA749B1" w14:textId="77777777" w:rsidTr="0077793A">
              <w:trPr>
                <w:trHeight w:val="610"/>
              </w:trPr>
              <w:tc>
                <w:tcPr>
                  <w:tcW w:w="3510" w:type="dxa"/>
                </w:tcPr>
                <w:p w14:paraId="7AB9E413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>В</w:t>
                  </w:r>
                  <w:r w:rsidRPr="0085119B">
                    <w:rPr>
                      <w:noProof/>
                    </w:rPr>
                    <w:t>и</w:t>
                  </w:r>
                  <w:r>
                    <w:rPr>
                      <w:noProof/>
                    </w:rPr>
                    <w:t>д</w:t>
                  </w:r>
                </w:p>
              </w:tc>
              <w:tc>
                <w:tcPr>
                  <w:tcW w:w="4743" w:type="dxa"/>
                </w:tcPr>
                <w:p w14:paraId="486FA204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85119B">
                    <w:rPr>
                      <w:noProof/>
                    </w:rPr>
                    <w:t>тестер для вимірювання та оцінки стану акумуляторних батарей</w:t>
                  </w:r>
                </w:p>
              </w:tc>
            </w:tr>
            <w:tr w:rsidR="0077793A" w14:paraId="195C0C14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15C30E21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>Т</w:t>
                  </w:r>
                  <w:r w:rsidRPr="0085119B">
                    <w:rPr>
                      <w:noProof/>
                    </w:rPr>
                    <w:t>естування акумуляторів 12 В</w:t>
                  </w:r>
                </w:p>
              </w:tc>
              <w:tc>
                <w:tcPr>
                  <w:tcW w:w="4743" w:type="dxa"/>
                </w:tcPr>
                <w:p w14:paraId="7701C128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85119B">
                    <w:rPr>
                      <w:noProof/>
                    </w:rPr>
                    <w:t>7 ~ 16 В постійного струму</w:t>
                  </w:r>
                </w:p>
              </w:tc>
            </w:tr>
            <w:tr w:rsidR="0077793A" w14:paraId="21D7FFD4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7B480825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>Т</w:t>
                  </w:r>
                  <w:r w:rsidRPr="0085119B">
                    <w:rPr>
                      <w:noProof/>
                    </w:rPr>
                    <w:t>естування системи запуску 12 В/24 В</w:t>
                  </w:r>
                </w:p>
              </w:tc>
              <w:tc>
                <w:tcPr>
                  <w:tcW w:w="4743" w:type="dxa"/>
                </w:tcPr>
                <w:p w14:paraId="156D6C14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85119B">
                    <w:rPr>
                      <w:noProof/>
                    </w:rPr>
                    <w:t>7 ~ 30 В постійного струму</w:t>
                  </w:r>
                </w:p>
              </w:tc>
            </w:tr>
            <w:tr w:rsidR="0077793A" w14:paraId="507AC39E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767E2335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>Т</w:t>
                  </w:r>
                  <w:r w:rsidRPr="0085119B">
                    <w:rPr>
                      <w:noProof/>
                    </w:rPr>
                    <w:t>естування системи заряджання 12 В/24 В</w:t>
                  </w:r>
                </w:p>
              </w:tc>
              <w:tc>
                <w:tcPr>
                  <w:tcW w:w="4743" w:type="dxa"/>
                </w:tcPr>
                <w:p w14:paraId="60199520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85119B">
                    <w:rPr>
                      <w:noProof/>
                    </w:rPr>
                    <w:t>7 ~ 30 В постійного струму</w:t>
                  </w:r>
                </w:p>
              </w:tc>
            </w:tr>
            <w:tr w:rsidR="0077793A" w14:paraId="7E612C37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10AF59D2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Типи акумуляторів</w:t>
                  </w:r>
                </w:p>
              </w:tc>
              <w:tc>
                <w:tcPr>
                  <w:tcW w:w="4743" w:type="dxa"/>
                </w:tcPr>
                <w:p w14:paraId="32158377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стандартні свинцево-кислотні акумулятори,  акумулятори AGM, гелеві акумулятори, вдосконалені залиті акумулятори EFB</w:t>
                  </w:r>
                </w:p>
              </w:tc>
            </w:tr>
            <w:tr w:rsidR="0077793A" w14:paraId="73D273F1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70EA3ED3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lastRenderedPageBreak/>
                    <w:t>Ємність</w:t>
                  </w:r>
                </w:p>
              </w:tc>
              <w:tc>
                <w:tcPr>
                  <w:tcW w:w="4743" w:type="dxa"/>
                </w:tcPr>
                <w:p w14:paraId="657926CD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30 Аг ~ 200 Аг</w:t>
                  </w:r>
                </w:p>
              </w:tc>
            </w:tr>
            <w:tr w:rsidR="0077793A" w14:paraId="7691B25C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6BB6CCD9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Живлення</w:t>
                  </w:r>
                </w:p>
              </w:tc>
              <w:tc>
                <w:tcPr>
                  <w:tcW w:w="4743" w:type="dxa"/>
                </w:tcPr>
                <w:p w14:paraId="5EDD9B0A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зовнішнє джерело або від тестованої акумуляторної батареї</w:t>
                  </w:r>
                </w:p>
              </w:tc>
            </w:tr>
            <w:tr w:rsidR="0077793A" w14:paraId="2DBE2879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4E746A8F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Дисплей</w:t>
                  </w:r>
                </w:p>
              </w:tc>
              <w:tc>
                <w:tcPr>
                  <w:tcW w:w="4743" w:type="dxa"/>
                </w:tcPr>
                <w:p w14:paraId="6328C298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чорно-білий або кольоровий</w:t>
                  </w:r>
                </w:p>
              </w:tc>
            </w:tr>
            <w:tr w:rsidR="0077793A" w14:paraId="0FC08F31" w14:textId="77777777" w:rsidTr="0077793A">
              <w:trPr>
                <w:trHeight w:val="608"/>
              </w:trPr>
              <w:tc>
                <w:tcPr>
                  <w:tcW w:w="3510" w:type="dxa"/>
                </w:tcPr>
                <w:p w14:paraId="732368F8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Гарантія</w:t>
                  </w:r>
                </w:p>
              </w:tc>
              <w:tc>
                <w:tcPr>
                  <w:tcW w:w="4743" w:type="dxa"/>
                </w:tcPr>
                <w:p w14:paraId="307EE915" w14:textId="77777777" w:rsidR="0077793A" w:rsidRPr="0085119B" w:rsidRDefault="0077793A" w:rsidP="0077793A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</w:rPr>
                  </w:pPr>
                  <w:r w:rsidRPr="00D01472">
                    <w:rPr>
                      <w:noProof/>
                    </w:rPr>
                    <w:t>не менше 12 місяців</w:t>
                  </w:r>
                </w:p>
              </w:tc>
            </w:tr>
          </w:tbl>
          <w:p w14:paraId="694205FE" w14:textId="77777777" w:rsidR="0077793A" w:rsidRDefault="0077793A" w:rsidP="0077793A">
            <w:pPr>
              <w:ind w:firstLine="709"/>
              <w:jc w:val="both"/>
              <w:rPr>
                <w:bCs/>
                <w:i/>
              </w:rPr>
            </w:pPr>
          </w:p>
          <w:p w14:paraId="24ECCE25" w14:textId="77777777" w:rsidR="0077793A" w:rsidRPr="00D01472" w:rsidRDefault="0077793A" w:rsidP="0077793A">
            <w:pPr>
              <w:ind w:firstLine="709"/>
              <w:jc w:val="both"/>
              <w:rPr>
                <w:bCs/>
                <w:i/>
              </w:rPr>
            </w:pPr>
            <w:r w:rsidRPr="00D01472">
              <w:rPr>
                <w:bCs/>
                <w:i/>
              </w:rPr>
              <w:t>*Всі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еквівалент».</w:t>
            </w:r>
          </w:p>
          <w:p w14:paraId="2BAD385C" w14:textId="77777777" w:rsidR="0077793A" w:rsidRPr="00D8365B" w:rsidRDefault="0077793A" w:rsidP="0077793A">
            <w:pPr>
              <w:ind w:firstLine="709"/>
              <w:jc w:val="both"/>
              <w:rPr>
                <w:rFonts w:eastAsia="Calibri"/>
                <w:b/>
                <w:i/>
                <w:lang w:eastAsia="en-US"/>
              </w:rPr>
            </w:pPr>
            <w:r w:rsidRPr="00D8365B">
              <w:rPr>
                <w:rFonts w:eastAsia="Calibri"/>
                <w:b/>
                <w:i/>
                <w:lang w:eastAsia="en-US"/>
              </w:rPr>
              <w:t>**Надати будь-який документ або фото упаковки, або посилання на офіційний сайт виробника товару, де є інформація із зазначеними характеристик товару, запропонованого учасником.</w:t>
            </w:r>
          </w:p>
          <w:p w14:paraId="2F57EFE0" w14:textId="77777777" w:rsidR="0077793A" w:rsidRPr="00E8696C" w:rsidRDefault="0077793A" w:rsidP="0077793A">
            <w:pPr>
              <w:spacing w:before="120" w:after="12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E8696C">
              <w:rPr>
                <w:sz w:val="24"/>
                <w:szCs w:val="24"/>
                <w:lang w:eastAsia="en-US"/>
              </w:rPr>
              <w:t xml:space="preserve">Товар має відповідати стандартам, технічним вимогам, які діють на території України, </w:t>
            </w:r>
            <w:r w:rsidRPr="00FB2957">
              <w:rPr>
                <w:sz w:val="24"/>
                <w:szCs w:val="24"/>
                <w:lang w:eastAsia="en-US"/>
              </w:rPr>
              <w:t>та підтверджуватися сертифікатом/паспортом якості виробника (тощо) на зазначений товар. Пакування та маркування товару повинне відповідати діючим стандартам, технічним умовам</w:t>
            </w:r>
            <w:r w:rsidRPr="00E8696C">
              <w:rPr>
                <w:sz w:val="24"/>
                <w:szCs w:val="24"/>
                <w:lang w:eastAsia="en-US"/>
              </w:rPr>
              <w:t xml:space="preserve"> та забезпечувати зберігання споживчих властивостей товару під час транспортування та зберігання.</w:t>
            </w:r>
            <w:r w:rsidRPr="00E8696C">
              <w:rPr>
                <w:sz w:val="24"/>
                <w:szCs w:val="24"/>
              </w:rPr>
              <w:t xml:space="preserve"> Товар повинен бути нови</w:t>
            </w:r>
            <w:r>
              <w:rPr>
                <w:sz w:val="24"/>
                <w:szCs w:val="24"/>
              </w:rPr>
              <w:t>й</w:t>
            </w:r>
            <w:r w:rsidRPr="00E8696C">
              <w:rPr>
                <w:sz w:val="24"/>
                <w:szCs w:val="24"/>
              </w:rPr>
              <w:t>, без зовнішніх пошкоджень, не брудний, мати цілісну оригінальну упаковку.</w:t>
            </w:r>
          </w:p>
          <w:p w14:paraId="5B9A1EAB" w14:textId="77777777" w:rsidR="0077793A" w:rsidRPr="00440842" w:rsidRDefault="0077793A" w:rsidP="0077793A">
            <w:pPr>
              <w:shd w:val="clear" w:color="auto" w:fill="FFFFFF"/>
              <w:tabs>
                <w:tab w:val="left" w:pos="0"/>
                <w:tab w:val="left" w:pos="567"/>
              </w:tabs>
              <w:autoSpaceDE w:val="0"/>
              <w:ind w:firstLine="567"/>
              <w:jc w:val="both"/>
              <w:rPr>
                <w:sz w:val="24"/>
                <w:szCs w:val="24"/>
              </w:rPr>
            </w:pPr>
            <w:r w:rsidRPr="00440842">
              <w:rPr>
                <w:sz w:val="24"/>
                <w:szCs w:val="24"/>
              </w:rPr>
              <w:t>Ціна</w:t>
            </w:r>
            <w:r w:rsidRPr="00440842">
              <w:rPr>
                <w:bCs/>
                <w:sz w:val="24"/>
                <w:szCs w:val="24"/>
              </w:rPr>
              <w:t xml:space="preserve"> </w:t>
            </w:r>
            <w:r w:rsidRPr="00440842">
              <w:rPr>
                <w:sz w:val="24"/>
                <w:szCs w:val="24"/>
              </w:rPr>
              <w:t xml:space="preserve">повинна враховувати </w:t>
            </w:r>
            <w:r w:rsidRPr="00440842">
              <w:rPr>
                <w:rFonts w:eastAsia="Calibri"/>
                <w:color w:val="00000A"/>
                <w:sz w:val="24"/>
                <w:szCs w:val="24"/>
              </w:rPr>
              <w:t xml:space="preserve">вартість </w:t>
            </w:r>
            <w:r>
              <w:rPr>
                <w:rFonts w:eastAsia="Calibri"/>
                <w:color w:val="00000A"/>
                <w:sz w:val="24"/>
                <w:szCs w:val="24"/>
              </w:rPr>
              <w:t>тестера</w:t>
            </w:r>
            <w:r w:rsidRPr="00440842">
              <w:rPr>
                <w:rFonts w:eastAsia="Calibri"/>
                <w:color w:val="00000A"/>
                <w:sz w:val="24"/>
                <w:szCs w:val="24"/>
              </w:rPr>
              <w:t xml:space="preserve">, вартість тари (упаковки), вантажно-розвантажувальні роботи, податки, збори та всі інші витрати. 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Не врахована </w:t>
            </w:r>
            <w:r>
              <w:rPr>
                <w:rFonts w:eastAsia="Times New Roman CYR"/>
                <w:sz w:val="24"/>
                <w:szCs w:val="24"/>
              </w:rPr>
              <w:t>у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часником вартість окремих супутніх послуг, необхідних для здійснення постачання </w:t>
            </w:r>
            <w:r>
              <w:rPr>
                <w:rFonts w:eastAsia="Times New Roman CYR"/>
                <w:sz w:val="24"/>
                <w:szCs w:val="24"/>
              </w:rPr>
              <w:t>т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овару, що є предметом закупівлі, не сплачується </w:t>
            </w:r>
            <w:r>
              <w:rPr>
                <w:rFonts w:eastAsia="Times New Roman CYR"/>
                <w:sz w:val="24"/>
                <w:szCs w:val="24"/>
              </w:rPr>
              <w:t>з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амовником окремо, а витрати на їх виконання вважаються врахованими у загальній ціні пропозиції, </w:t>
            </w:r>
            <w:r w:rsidRPr="00440842">
              <w:rPr>
                <w:sz w:val="24"/>
                <w:szCs w:val="24"/>
              </w:rPr>
              <w:t xml:space="preserve">визначеній </w:t>
            </w:r>
            <w:r>
              <w:rPr>
                <w:sz w:val="24"/>
                <w:szCs w:val="24"/>
              </w:rPr>
              <w:t>у</w:t>
            </w:r>
            <w:r w:rsidRPr="00440842">
              <w:rPr>
                <w:sz w:val="24"/>
                <w:szCs w:val="24"/>
              </w:rPr>
              <w:t>часником за результатами електронного аукціону</w:t>
            </w:r>
            <w:r w:rsidRPr="00440842">
              <w:rPr>
                <w:rFonts w:eastAsia="Times New Roman CYR"/>
                <w:sz w:val="24"/>
                <w:szCs w:val="24"/>
              </w:rPr>
              <w:t>.</w:t>
            </w:r>
          </w:p>
          <w:p w14:paraId="42976C19" w14:textId="77777777" w:rsidR="0077793A" w:rsidRPr="00E55293" w:rsidRDefault="0077793A" w:rsidP="0077793A">
            <w:pPr>
              <w:spacing w:before="120" w:after="12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D01472">
              <w:rPr>
                <w:b/>
                <w:bCs/>
                <w:sz w:val="24"/>
                <w:szCs w:val="24"/>
                <w:lang w:eastAsia="en-US"/>
              </w:rPr>
              <w:t>Місце та умови поставки товару</w:t>
            </w:r>
            <w:r w:rsidRPr="00E8696C">
              <w:rPr>
                <w:sz w:val="24"/>
                <w:szCs w:val="24"/>
                <w:lang w:eastAsia="en-US"/>
              </w:rPr>
              <w:t xml:space="preserve">: м. Чернігів, проспект Перемоги, 6. </w:t>
            </w:r>
            <w:r w:rsidRPr="00E55293">
              <w:rPr>
                <w:sz w:val="24"/>
                <w:szCs w:val="24"/>
                <w:lang w:eastAsia="en-US"/>
              </w:rPr>
              <w:t xml:space="preserve">Доставка товару здійснюються за рахунок учасника. </w:t>
            </w:r>
          </w:p>
          <w:p w14:paraId="461ADD17" w14:textId="77777777" w:rsidR="0077793A" w:rsidRPr="007B735C" w:rsidRDefault="0077793A" w:rsidP="0077793A">
            <w:pPr>
              <w:spacing w:before="120" w:after="120"/>
              <w:ind w:firstLine="720"/>
              <w:jc w:val="both"/>
              <w:rPr>
                <w:sz w:val="24"/>
                <w:szCs w:val="24"/>
                <w:lang w:val="ru-RU" w:eastAsia="en-US"/>
              </w:rPr>
            </w:pPr>
            <w:r w:rsidRPr="00D01472">
              <w:rPr>
                <w:b/>
                <w:bCs/>
                <w:sz w:val="24"/>
                <w:szCs w:val="24"/>
                <w:lang w:eastAsia="en-US"/>
              </w:rPr>
              <w:t>Строк поставки товару</w:t>
            </w:r>
            <w:r w:rsidRPr="00E56339">
              <w:rPr>
                <w:sz w:val="24"/>
                <w:szCs w:val="24"/>
                <w:lang w:eastAsia="en-US"/>
              </w:rPr>
              <w:t xml:space="preserve">: протягом 10 робочих днів з дня отримання заявки від замовника (письмово або за допомогою телефонного зв’язку), але не пізніше </w:t>
            </w:r>
            <w:r w:rsidRPr="00E56339">
              <w:rPr>
                <w:sz w:val="24"/>
                <w:szCs w:val="24"/>
                <w:lang w:val="ru-RU" w:eastAsia="en-US"/>
              </w:rPr>
              <w:t>22.12</w:t>
            </w:r>
            <w:r w:rsidRPr="00E56339">
              <w:rPr>
                <w:sz w:val="24"/>
                <w:szCs w:val="24"/>
                <w:lang w:eastAsia="en-US"/>
              </w:rPr>
              <w:t>.202</w:t>
            </w:r>
            <w:r w:rsidRPr="00E56339">
              <w:rPr>
                <w:sz w:val="24"/>
                <w:szCs w:val="24"/>
                <w:lang w:val="ru-RU" w:eastAsia="en-US"/>
              </w:rPr>
              <w:t>6</w:t>
            </w:r>
            <w:r w:rsidRPr="00E56339">
              <w:rPr>
                <w:sz w:val="24"/>
                <w:szCs w:val="24"/>
                <w:lang w:eastAsia="en-US"/>
              </w:rPr>
              <w:t>.</w:t>
            </w:r>
          </w:p>
          <w:p w14:paraId="0FA08550" w14:textId="77777777" w:rsidR="0077793A" w:rsidRPr="007B735C" w:rsidRDefault="0077793A" w:rsidP="0077793A">
            <w:pPr>
              <w:spacing w:before="120" w:after="120"/>
              <w:ind w:firstLine="720"/>
              <w:jc w:val="both"/>
              <w:rPr>
                <w:sz w:val="24"/>
                <w:szCs w:val="24"/>
                <w:lang w:val="ru-RU" w:eastAsia="en-US"/>
              </w:rPr>
            </w:pPr>
            <w:r w:rsidRPr="001A1A85">
              <w:rPr>
                <w:b/>
                <w:sz w:val="24"/>
                <w:szCs w:val="24"/>
              </w:rPr>
              <w:t xml:space="preserve">Гарантійний строк Товару: </w:t>
            </w:r>
            <w:r w:rsidRPr="001A1A85">
              <w:rPr>
                <w:sz w:val="24"/>
                <w:szCs w:val="24"/>
              </w:rPr>
              <w:t>не менше 12 місяців</w:t>
            </w:r>
            <w:r>
              <w:rPr>
                <w:sz w:val="24"/>
                <w:szCs w:val="24"/>
              </w:rPr>
              <w:t>.</w:t>
            </w:r>
          </w:p>
          <w:p w14:paraId="1C270C41" w14:textId="77777777" w:rsidR="0077793A" w:rsidRPr="00426A4B" w:rsidRDefault="0077793A" w:rsidP="0077793A">
            <w:pPr>
              <w:spacing w:before="120" w:after="120"/>
              <w:ind w:firstLine="709"/>
              <w:jc w:val="both"/>
              <w:rPr>
                <w:b/>
                <w:sz w:val="24"/>
                <w:szCs w:val="24"/>
              </w:rPr>
            </w:pPr>
            <w:r w:rsidRPr="00426A4B">
              <w:rPr>
                <w:b/>
                <w:sz w:val="24"/>
                <w:szCs w:val="24"/>
              </w:rPr>
              <w:t>Для підтвердження відповідності тендерної пропозиції учасника технічним, якісним, кількісним та іншим вимогам до предмета закупівлі, викладеним у цьому додатку, учасник у складі тендерної пропозиції повинен надати:</w:t>
            </w:r>
          </w:p>
          <w:p w14:paraId="210DEA50" w14:textId="77777777" w:rsidR="0077793A" w:rsidRPr="00C63D2D" w:rsidRDefault="0077793A" w:rsidP="0077793A">
            <w:pPr>
              <w:tabs>
                <w:tab w:val="left" w:pos="656"/>
                <w:tab w:val="left" w:pos="1075"/>
              </w:tabs>
              <w:spacing w:before="120" w:after="120"/>
              <w:ind w:firstLine="709"/>
              <w:contextualSpacing/>
              <w:jc w:val="both"/>
              <w:rPr>
                <w:sz w:val="24"/>
                <w:szCs w:val="24"/>
                <w:highlight w:val="yellow"/>
                <w:lang w:eastAsia="x-none"/>
              </w:rPr>
            </w:pPr>
            <w:r w:rsidRPr="00C63D2D">
              <w:rPr>
                <w:sz w:val="24"/>
                <w:szCs w:val="24"/>
                <w:lang w:eastAsia="x-none"/>
              </w:rPr>
              <w:t xml:space="preserve">1) документ, який підтверджує відповідність якості запропонованого товару вимогам </w:t>
            </w:r>
            <w:r>
              <w:rPr>
                <w:sz w:val="24"/>
                <w:szCs w:val="24"/>
                <w:lang w:eastAsia="x-none"/>
              </w:rPr>
              <w:t>з</w:t>
            </w:r>
            <w:r w:rsidRPr="00C63D2D">
              <w:rPr>
                <w:sz w:val="24"/>
                <w:szCs w:val="24"/>
                <w:lang w:eastAsia="x-none"/>
              </w:rPr>
              <w:t>амовника</w:t>
            </w:r>
            <w:r w:rsidRPr="009B77D6">
              <w:rPr>
                <w:sz w:val="24"/>
                <w:szCs w:val="24"/>
                <w:lang w:eastAsia="x-none"/>
              </w:rPr>
              <w:t xml:space="preserve"> (</w:t>
            </w:r>
            <w:r w:rsidRPr="00C63D2D">
              <w:rPr>
                <w:sz w:val="24"/>
                <w:szCs w:val="24"/>
                <w:lang w:eastAsia="x-none"/>
              </w:rPr>
              <w:t>сертифікат</w:t>
            </w:r>
            <w:r>
              <w:rPr>
                <w:sz w:val="24"/>
                <w:szCs w:val="24"/>
                <w:lang w:eastAsia="x-none"/>
              </w:rPr>
              <w:t xml:space="preserve"> відповідності</w:t>
            </w:r>
            <w:r w:rsidRPr="009B77D6">
              <w:rPr>
                <w:sz w:val="24"/>
                <w:szCs w:val="24"/>
                <w:lang w:eastAsia="x-none"/>
              </w:rPr>
              <w:t>/</w:t>
            </w:r>
            <w:r w:rsidRPr="00C63D2D">
              <w:rPr>
                <w:sz w:val="24"/>
                <w:szCs w:val="24"/>
                <w:lang w:eastAsia="x-none"/>
              </w:rPr>
              <w:t>паспорт якості на товар тощо);</w:t>
            </w:r>
          </w:p>
          <w:p w14:paraId="6E9BF495" w14:textId="22650D5A" w:rsidR="00615203" w:rsidRPr="001A2A9D" w:rsidRDefault="0077793A" w:rsidP="001A2A9D">
            <w:pPr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  <w:r w:rsidRPr="005976FB">
              <w:rPr>
                <w:sz w:val="24"/>
                <w:szCs w:val="24"/>
                <w:lang w:eastAsia="en-US"/>
              </w:rPr>
              <w:t>2) </w:t>
            </w:r>
            <w:r>
              <w:rPr>
                <w:sz w:val="24"/>
                <w:szCs w:val="24"/>
                <w:lang w:eastAsia="en-US"/>
              </w:rPr>
              <w:t>з</w:t>
            </w:r>
            <w:r w:rsidRPr="00D01472">
              <w:rPr>
                <w:sz w:val="24"/>
                <w:szCs w:val="24"/>
                <w:lang w:eastAsia="en-US"/>
              </w:rPr>
              <w:t>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закупівлі, довідку на бланку учасника (у разі наявності) за</w:t>
            </w:r>
            <w:r w:rsidR="00A47363">
              <w:rPr>
                <w:sz w:val="24"/>
                <w:szCs w:val="24"/>
                <w:lang w:eastAsia="en-US"/>
              </w:rPr>
              <w:t xml:space="preserve"> </w:t>
            </w:r>
            <w:r w:rsidRPr="00D01472">
              <w:rPr>
                <w:sz w:val="24"/>
                <w:szCs w:val="24"/>
                <w:lang w:eastAsia="en-US"/>
              </w:rPr>
              <w:t>формою</w:t>
            </w:r>
            <w:r w:rsidR="00A47363">
              <w:rPr>
                <w:sz w:val="24"/>
                <w:szCs w:val="24"/>
                <w:lang w:eastAsia="en-US"/>
              </w:rPr>
              <w:t xml:space="preserve"> «Довідка про фактичні характеристики товару», наведеної в Додатку 1.1 до тендерної документації,</w:t>
            </w:r>
            <w:r w:rsidRPr="00D01472">
              <w:rPr>
                <w:sz w:val="24"/>
                <w:szCs w:val="24"/>
                <w:lang w:eastAsia="en-US"/>
              </w:rPr>
              <w:t xml:space="preserve"> із зазначенням інформації про виробника або торгову марку, фактичні характеристики запропонованого товару (учасник має вказати фактичні дані запропонованого товару).</w:t>
            </w:r>
          </w:p>
        </w:tc>
      </w:tr>
    </w:tbl>
    <w:p w14:paraId="6060F9C0" w14:textId="49ECD894" w:rsidR="00992B28" w:rsidRPr="004855A7" w:rsidRDefault="00992B28" w:rsidP="0077793A">
      <w:pPr>
        <w:spacing w:before="120" w:after="120"/>
        <w:jc w:val="both"/>
        <w:rPr>
          <w:rFonts w:cs="Calibri"/>
          <w:sz w:val="24"/>
          <w:szCs w:val="24"/>
          <w:lang w:eastAsia="uk-UA"/>
        </w:rPr>
      </w:pPr>
    </w:p>
    <w:sectPr w:rsidR="00992B28" w:rsidRPr="004855A7" w:rsidSect="004C4AF9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8460FA1"/>
    <w:multiLevelType w:val="hybridMultilevel"/>
    <w:tmpl w:val="18583306"/>
    <w:lvl w:ilvl="0" w:tplc="0A165B82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42B6553"/>
    <w:multiLevelType w:val="hybridMultilevel"/>
    <w:tmpl w:val="4FCA596C"/>
    <w:lvl w:ilvl="0" w:tplc="8DF6A7AE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29F2"/>
    <w:multiLevelType w:val="hybridMultilevel"/>
    <w:tmpl w:val="F6FCB12A"/>
    <w:lvl w:ilvl="0" w:tplc="50FC43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909F4"/>
    <w:multiLevelType w:val="hybridMultilevel"/>
    <w:tmpl w:val="A1A4BF2C"/>
    <w:lvl w:ilvl="0" w:tplc="8EAAB78A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EF3"/>
    <w:rsid w:val="000454E0"/>
    <w:rsid w:val="000C10DF"/>
    <w:rsid w:val="000C3968"/>
    <w:rsid w:val="000F1847"/>
    <w:rsid w:val="00102280"/>
    <w:rsid w:val="001055F9"/>
    <w:rsid w:val="001204ED"/>
    <w:rsid w:val="00146338"/>
    <w:rsid w:val="001606B8"/>
    <w:rsid w:val="00180A8E"/>
    <w:rsid w:val="00197D8C"/>
    <w:rsid w:val="001A0275"/>
    <w:rsid w:val="001A1845"/>
    <w:rsid w:val="001A2A9D"/>
    <w:rsid w:val="00217812"/>
    <w:rsid w:val="00225DEB"/>
    <w:rsid w:val="00245F1D"/>
    <w:rsid w:val="002502F7"/>
    <w:rsid w:val="0029451F"/>
    <w:rsid w:val="002A41A5"/>
    <w:rsid w:val="00303A5A"/>
    <w:rsid w:val="00304D2D"/>
    <w:rsid w:val="00321D62"/>
    <w:rsid w:val="00330EC2"/>
    <w:rsid w:val="00351C04"/>
    <w:rsid w:val="003C03FD"/>
    <w:rsid w:val="003C521D"/>
    <w:rsid w:val="003D656F"/>
    <w:rsid w:val="003F45AC"/>
    <w:rsid w:val="00442665"/>
    <w:rsid w:val="004855A7"/>
    <w:rsid w:val="00495372"/>
    <w:rsid w:val="004953AF"/>
    <w:rsid w:val="004B013D"/>
    <w:rsid w:val="004C4AF9"/>
    <w:rsid w:val="004D6316"/>
    <w:rsid w:val="004E053B"/>
    <w:rsid w:val="004E510E"/>
    <w:rsid w:val="00510E07"/>
    <w:rsid w:val="005116A3"/>
    <w:rsid w:val="005544BC"/>
    <w:rsid w:val="00555D9D"/>
    <w:rsid w:val="00557D5F"/>
    <w:rsid w:val="005871FF"/>
    <w:rsid w:val="005B566D"/>
    <w:rsid w:val="005B6182"/>
    <w:rsid w:val="005C180F"/>
    <w:rsid w:val="005D3101"/>
    <w:rsid w:val="00615203"/>
    <w:rsid w:val="00640ACC"/>
    <w:rsid w:val="00677C7A"/>
    <w:rsid w:val="006B240F"/>
    <w:rsid w:val="006D3430"/>
    <w:rsid w:val="006D7DB7"/>
    <w:rsid w:val="006E7946"/>
    <w:rsid w:val="00701EB6"/>
    <w:rsid w:val="00705EC8"/>
    <w:rsid w:val="00706F31"/>
    <w:rsid w:val="00743327"/>
    <w:rsid w:val="0077793A"/>
    <w:rsid w:val="0079368A"/>
    <w:rsid w:val="007B2476"/>
    <w:rsid w:val="007B43BA"/>
    <w:rsid w:val="00827F85"/>
    <w:rsid w:val="0084104F"/>
    <w:rsid w:val="00853609"/>
    <w:rsid w:val="00860677"/>
    <w:rsid w:val="008620F7"/>
    <w:rsid w:val="0086788E"/>
    <w:rsid w:val="008A2A74"/>
    <w:rsid w:val="008E011F"/>
    <w:rsid w:val="008F5A67"/>
    <w:rsid w:val="00947AD6"/>
    <w:rsid w:val="00953929"/>
    <w:rsid w:val="00992B28"/>
    <w:rsid w:val="009A585B"/>
    <w:rsid w:val="009D6D34"/>
    <w:rsid w:val="009E307F"/>
    <w:rsid w:val="009F0C5D"/>
    <w:rsid w:val="00A253AF"/>
    <w:rsid w:val="00A47363"/>
    <w:rsid w:val="00A50711"/>
    <w:rsid w:val="00A66544"/>
    <w:rsid w:val="00AB4F15"/>
    <w:rsid w:val="00AD6EF3"/>
    <w:rsid w:val="00AE3D44"/>
    <w:rsid w:val="00B136B0"/>
    <w:rsid w:val="00B17160"/>
    <w:rsid w:val="00B25E7D"/>
    <w:rsid w:val="00B407E7"/>
    <w:rsid w:val="00B617E8"/>
    <w:rsid w:val="00B70F8C"/>
    <w:rsid w:val="00B85844"/>
    <w:rsid w:val="00B86400"/>
    <w:rsid w:val="00B970AF"/>
    <w:rsid w:val="00BC5664"/>
    <w:rsid w:val="00C13F1E"/>
    <w:rsid w:val="00C33F6D"/>
    <w:rsid w:val="00C44C83"/>
    <w:rsid w:val="00C50D79"/>
    <w:rsid w:val="00C5117F"/>
    <w:rsid w:val="00C5244C"/>
    <w:rsid w:val="00C53D08"/>
    <w:rsid w:val="00C92A50"/>
    <w:rsid w:val="00C944E2"/>
    <w:rsid w:val="00CB4754"/>
    <w:rsid w:val="00CE485C"/>
    <w:rsid w:val="00CF1F77"/>
    <w:rsid w:val="00CF62BC"/>
    <w:rsid w:val="00D17084"/>
    <w:rsid w:val="00D3243F"/>
    <w:rsid w:val="00D32CE6"/>
    <w:rsid w:val="00D477D9"/>
    <w:rsid w:val="00D7093A"/>
    <w:rsid w:val="00D71218"/>
    <w:rsid w:val="00D96CE3"/>
    <w:rsid w:val="00DB1A61"/>
    <w:rsid w:val="00DB397D"/>
    <w:rsid w:val="00DB4062"/>
    <w:rsid w:val="00DC144B"/>
    <w:rsid w:val="00E04147"/>
    <w:rsid w:val="00E06C6A"/>
    <w:rsid w:val="00E30036"/>
    <w:rsid w:val="00E3657E"/>
    <w:rsid w:val="00E41B49"/>
    <w:rsid w:val="00E52948"/>
    <w:rsid w:val="00E678D9"/>
    <w:rsid w:val="00EB730F"/>
    <w:rsid w:val="00ED750B"/>
    <w:rsid w:val="00EE615D"/>
    <w:rsid w:val="00F7331D"/>
    <w:rsid w:val="00F90EE4"/>
    <w:rsid w:val="00F961A6"/>
    <w:rsid w:val="00FD4C85"/>
    <w:rsid w:val="00FE4E6C"/>
    <w:rsid w:val="00FE5439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docId w15:val="{C239355B-BB74-42FA-BB8B-05BFC403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"/>
    <w:basedOn w:val="a0"/>
    <w:rsid w:val="001A0275"/>
    <w:rPr>
      <w:rFonts w:ascii="Verdana" w:hAnsi="Verdana" w:cs="Verdana"/>
      <w:lang w:val="en-US" w:eastAsia="en-US"/>
    </w:rPr>
  </w:style>
  <w:style w:type="paragraph" w:styleId="a5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0"/>
    <w:link w:val="a6"/>
    <w:uiPriority w:val="34"/>
    <w:qFormat/>
    <w:rsid w:val="0084104F"/>
    <w:pPr>
      <w:ind w:left="720"/>
      <w:contextualSpacing/>
    </w:pPr>
  </w:style>
  <w:style w:type="character" w:customStyle="1" w:styleId="a6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5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7">
    <w:name w:val="Знак Знак"/>
    <w:basedOn w:val="a0"/>
    <w:rsid w:val="000C10DF"/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0"/>
    <w:rsid w:val="00F7331D"/>
    <w:rPr>
      <w:rFonts w:ascii="Verdana" w:hAnsi="Verdana" w:cs="Verdana"/>
      <w:lang w:val="en-US" w:eastAsia="en-US"/>
    </w:rPr>
  </w:style>
  <w:style w:type="table" w:styleId="a9">
    <w:name w:val="Table Grid"/>
    <w:basedOn w:val="a2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77C7A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character" w:styleId="ab">
    <w:name w:val="Strong"/>
    <w:basedOn w:val="a1"/>
    <w:uiPriority w:val="22"/>
    <w:qFormat/>
    <w:rsid w:val="004C4AF9"/>
    <w:rPr>
      <w:b/>
      <w:bCs/>
    </w:rPr>
  </w:style>
  <w:style w:type="paragraph" w:customStyle="1" w:styleId="1">
    <w:name w:val="Абзац списка1"/>
    <w:basedOn w:val="a0"/>
    <w:link w:val="ListParagraphChar"/>
    <w:rsid w:val="00ED750B"/>
    <w:pPr>
      <w:suppressAutoHyphens/>
    </w:pPr>
    <w:rPr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ED7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Номер"/>
    <w:basedOn w:val="a0"/>
    <w:uiPriority w:val="2"/>
    <w:qFormat/>
    <w:rsid w:val="00ED750B"/>
    <w:pPr>
      <w:numPr>
        <w:numId w:val="6"/>
      </w:numPr>
      <w:spacing w:before="120" w:after="120"/>
      <w:jc w:val="both"/>
    </w:pPr>
    <w:rPr>
      <w:sz w:val="24"/>
      <w:szCs w:val="24"/>
    </w:rPr>
  </w:style>
  <w:style w:type="character" w:styleId="ac">
    <w:name w:val="Emphasis"/>
    <w:basedOn w:val="a1"/>
    <w:uiPriority w:val="20"/>
    <w:qFormat/>
    <w:rsid w:val="004855A7"/>
    <w:rPr>
      <w:i/>
      <w:iCs/>
    </w:rPr>
  </w:style>
  <w:style w:type="paragraph" w:styleId="ad">
    <w:name w:val="Body Text Indent"/>
    <w:basedOn w:val="a0"/>
    <w:link w:val="ae"/>
    <w:rsid w:val="0077793A"/>
    <w:pPr>
      <w:widowControl w:val="0"/>
      <w:autoSpaceDE w:val="0"/>
      <w:autoSpaceDN w:val="0"/>
      <w:adjustRightInd w:val="0"/>
      <w:spacing w:after="120"/>
      <w:ind w:left="283"/>
    </w:pPr>
    <w:rPr>
      <w:rFonts w:ascii="Times New Roman CYR" w:hAnsi="Times New Roman CYR"/>
      <w:sz w:val="24"/>
      <w:szCs w:val="24"/>
      <w:lang w:eastAsia="x-none"/>
    </w:rPr>
  </w:style>
  <w:style w:type="character" w:customStyle="1" w:styleId="ae">
    <w:name w:val="Основний текст з відступом Знак"/>
    <w:basedOn w:val="a1"/>
    <w:link w:val="ad"/>
    <w:rsid w:val="0077793A"/>
    <w:rPr>
      <w:rFonts w:ascii="Times New Roman CYR" w:eastAsia="Times New Roman" w:hAnsi="Times New Roman CYR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9B2E-5AFC-42B1-AF21-C281B5DB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173</cp:revision>
  <cp:lastPrinted>2026-03-24T08:22:00Z</cp:lastPrinted>
  <dcterms:created xsi:type="dcterms:W3CDTF">2025-02-12T14:01:00Z</dcterms:created>
  <dcterms:modified xsi:type="dcterms:W3CDTF">2026-06-11T06:05:00Z</dcterms:modified>
</cp:coreProperties>
</file>