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EB4" w:rsidRDefault="003E1EB4">
      <w:pPr>
        <w:rPr>
          <w:rFonts w:eastAsia="Times New Roman" w:cs="Times New Roman"/>
          <w:color w:val="000000"/>
          <w:sz w:val="24"/>
          <w:szCs w:val="24"/>
          <w:lang w:eastAsia="uk-UA"/>
        </w:rPr>
      </w:pPr>
    </w:p>
    <w:p w:rsidR="003E1EB4" w:rsidRDefault="0020078A">
      <w:pPr>
        <w:jc w:val="center"/>
        <w:rPr>
          <w:rFonts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/>
          <w:color w:val="000000"/>
          <w:sz w:val="24"/>
          <w:szCs w:val="24"/>
          <w:lang w:eastAsia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3E1EB4" w:rsidRDefault="0020078A">
      <w:pPr>
        <w:spacing w:before="100" w:beforeAutospacing="1" w:after="100" w:afterAutospacing="1"/>
        <w:jc w:val="both"/>
        <w:rPr>
          <w:rStyle w:val="a6"/>
          <w:bCs/>
          <w:sz w:val="24"/>
          <w:szCs w:val="24"/>
        </w:rPr>
      </w:pPr>
      <w:r>
        <w:rPr>
          <w:rStyle w:val="a6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:rsidR="003E1EB4" w:rsidRDefault="0020078A">
      <w:pPr>
        <w:spacing w:before="100" w:beforeAutospacing="1" w:after="100" w:afterAutospacing="1"/>
        <w:jc w:val="both"/>
        <w:rPr>
          <w:rFonts w:eastAsia="Times New Roman"/>
          <w:b/>
          <w:i/>
          <w:color w:val="000000"/>
          <w:sz w:val="24"/>
          <w:szCs w:val="24"/>
          <w:u w:val="single"/>
          <w:lang w:eastAsia="uk-UA"/>
        </w:rPr>
      </w:pPr>
      <w:r>
        <w:rPr>
          <w:rStyle w:val="a6"/>
          <w:b/>
          <w:bCs/>
          <w:sz w:val="24"/>
          <w:szCs w:val="24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  <w:r>
        <w:rPr>
          <w:rStyle w:val="a6"/>
          <w:b/>
          <w:bCs/>
          <w:sz w:val="24"/>
          <w:szCs w:val="24"/>
          <w:u w:val="single"/>
        </w:rPr>
        <w:t>Держмитслужба м. Київ , вул. Дегтярівська, 11г, ЄДРПОУ 43115923.</w:t>
      </w:r>
    </w:p>
    <w:p w:rsidR="003E1EB4" w:rsidRDefault="0020078A">
      <w:pPr>
        <w:widowControl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Вид та ідентифікатор процедури закупівлі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F238FE">
        <w:rPr>
          <w:sz w:val="24"/>
          <w:szCs w:val="24"/>
          <w:u w:val="single"/>
          <w:lang w:val="en-US"/>
        </w:rPr>
        <w:t>UA</w:t>
      </w:r>
      <w:r w:rsidRPr="00F238FE">
        <w:rPr>
          <w:sz w:val="24"/>
          <w:szCs w:val="24"/>
          <w:u w:val="single"/>
          <w:lang w:val="ru-RU"/>
        </w:rPr>
        <w:t>-202</w:t>
      </w:r>
      <w:r w:rsidR="00F238FE" w:rsidRPr="00F238FE">
        <w:rPr>
          <w:sz w:val="24"/>
          <w:szCs w:val="24"/>
          <w:u w:val="single"/>
          <w:lang w:val="ru-RU"/>
        </w:rPr>
        <w:t>6</w:t>
      </w:r>
      <w:r w:rsidRPr="00F238FE">
        <w:rPr>
          <w:sz w:val="24"/>
          <w:szCs w:val="24"/>
          <w:u w:val="single"/>
          <w:lang w:val="ru-RU"/>
        </w:rPr>
        <w:t>-</w:t>
      </w:r>
      <w:r w:rsidR="001F6D44">
        <w:rPr>
          <w:sz w:val="24"/>
          <w:szCs w:val="24"/>
          <w:u w:val="single"/>
        </w:rPr>
        <w:t>10</w:t>
      </w:r>
      <w:r w:rsidRPr="00F238FE">
        <w:rPr>
          <w:sz w:val="24"/>
          <w:szCs w:val="24"/>
          <w:u w:val="single"/>
          <w:lang w:val="ru-RU"/>
        </w:rPr>
        <w:t>-</w:t>
      </w:r>
      <w:r w:rsidR="001F6D44">
        <w:rPr>
          <w:sz w:val="24"/>
          <w:szCs w:val="24"/>
          <w:u w:val="single"/>
        </w:rPr>
        <w:t>16</w:t>
      </w:r>
      <w:r w:rsidRPr="00F238FE">
        <w:rPr>
          <w:sz w:val="24"/>
          <w:szCs w:val="24"/>
          <w:u w:val="single"/>
          <w:lang w:val="ru-RU"/>
        </w:rPr>
        <w:t>-</w:t>
      </w:r>
      <w:r w:rsidR="00F238FE" w:rsidRPr="00F238FE">
        <w:rPr>
          <w:sz w:val="24"/>
          <w:szCs w:val="24"/>
          <w:u w:val="single"/>
        </w:rPr>
        <w:t>00</w:t>
      </w:r>
      <w:r w:rsidR="001F6D44">
        <w:rPr>
          <w:sz w:val="24"/>
          <w:szCs w:val="24"/>
          <w:u w:val="single"/>
        </w:rPr>
        <w:t>6194</w:t>
      </w:r>
      <w:r w:rsidRPr="00F238FE">
        <w:rPr>
          <w:sz w:val="24"/>
          <w:szCs w:val="24"/>
          <w:u w:val="single"/>
          <w:lang w:val="ru-RU"/>
        </w:rPr>
        <w:t>-</w:t>
      </w:r>
      <w:r w:rsidRPr="00F238FE">
        <w:rPr>
          <w:sz w:val="24"/>
          <w:szCs w:val="24"/>
          <w:u w:val="single"/>
          <w:lang w:val="en-US"/>
        </w:rPr>
        <w:t>a</w:t>
      </w:r>
      <w:r w:rsidRPr="00F238FE">
        <w:rPr>
          <w:sz w:val="24"/>
          <w:szCs w:val="24"/>
        </w:rPr>
        <w:t>.</w:t>
      </w:r>
    </w:p>
    <w:p w:rsidR="003E1EB4" w:rsidRDefault="003E1EB4">
      <w:pPr>
        <w:rPr>
          <w:sz w:val="24"/>
          <w:szCs w:val="24"/>
        </w:rPr>
      </w:pPr>
    </w:p>
    <w:p w:rsidR="003E1EB4" w:rsidRDefault="0020078A">
      <w:pPr>
        <w:pStyle w:val="aa"/>
        <w:numPr>
          <w:ilvl w:val="0"/>
          <w:numId w:val="2"/>
        </w:numPr>
        <w:ind w:left="0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Предмет закупівлі: (зазначається назва предмета закупівлі та код ДК 021:2015 із застосуванням Єдиного закупівельного словника (див. пункт 2.3 розділу ІІ Порядку організації планування та проведення публічних закупівель в Державній митній службі України)).</w:t>
      </w:r>
    </w:p>
    <w:p w:rsidR="003E1EB4" w:rsidRDefault="003E1EB4">
      <w:pPr>
        <w:pStyle w:val="aa"/>
        <w:tabs>
          <w:tab w:val="left" w:pos="9072"/>
        </w:tabs>
        <w:ind w:left="0"/>
        <w:jc w:val="both"/>
        <w:rPr>
          <w:rFonts w:cs="Times New Roman"/>
          <w:sz w:val="24"/>
          <w:szCs w:val="24"/>
          <w:lang w:eastAsia="zh-CN"/>
        </w:rPr>
      </w:pPr>
    </w:p>
    <w:p w:rsidR="00A16696" w:rsidRPr="00A16696" w:rsidRDefault="00A16696">
      <w:pPr>
        <w:tabs>
          <w:tab w:val="left" w:pos="9639"/>
        </w:tabs>
        <w:ind w:firstLine="567"/>
        <w:jc w:val="both"/>
        <w:rPr>
          <w:rFonts w:cs="Times New Roman"/>
          <w:sz w:val="24"/>
          <w:szCs w:val="24"/>
        </w:rPr>
      </w:pPr>
      <w:r w:rsidRPr="00A16696">
        <w:rPr>
          <w:bCs/>
          <w:sz w:val="24"/>
          <w:szCs w:val="24"/>
        </w:rPr>
        <w:t xml:space="preserve">Послуги захищеного доступу до мережі Інтернет (канал1); Послуги захищеного доступу до мережі Інтернет (канал 2) за Код 021: 2015 72410000-7 Послуги провайдерів </w:t>
      </w:r>
    </w:p>
    <w:p w:rsidR="001F6D44" w:rsidRPr="001F6D44" w:rsidRDefault="0020078A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2.Обґрунтування доцільності закупівлі (чим зумовлена необхідність закупівлі, мета</w:t>
      </w:r>
      <w:r>
        <w:rPr>
          <w:rFonts w:cs="Times New Roman"/>
          <w:sz w:val="24"/>
          <w:szCs w:val="24"/>
          <w:lang w:val="en-US"/>
        </w:rPr>
        <w:t>)</w:t>
      </w:r>
      <w:r>
        <w:rPr>
          <w:rFonts w:cs="Times New Roman"/>
          <w:sz w:val="24"/>
          <w:szCs w:val="24"/>
        </w:rPr>
        <w:t xml:space="preserve"> </w:t>
      </w:r>
      <w:r w:rsidR="001F6D44" w:rsidRPr="001F6D44">
        <w:rPr>
          <w:rFonts w:eastAsia="Calibri" w:cs="Times New Roman"/>
          <w:sz w:val="24"/>
          <w:szCs w:val="24"/>
        </w:rPr>
        <w:t xml:space="preserve">Забезпечення Державної митної служби України захищеним доступом до мережі Інтернет, а також операторське та технічне супроводження такого доступу необхідні для забезпечення безперервного функціонування інформаційно-комунікаційних систем, інформаційних ресурсів та електронних сервісів Держмитслужби, зокрема: 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електронного декларування;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Єдиного державного інформаційного веб-порталу «Єдине вікно для міжнародної торгівлі»;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Офіційного веб-порталу Держмитслужби;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Мапи інфраструктури Держмитслужби;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Електронної пошти Держмитслужби з доступом до мережі Інтернет;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інших інформаційних ресурсів та електронних сервісів Держмитслужби, доступ до яких здійснюється з використанням мережі Інтернет.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Надання послуг повинно здійснюватися відповідно до вимог законодавства України у сферах електронних комунікацій, захисту інформації та кіберзахисту, а також відповідно до встановлених Держмитслужбою технічних вимог.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Послуги повинні надаватися через захищений вузол Інтернет-доступу (ЗВІД) з використанням системи захисту інформації, що відповідає вимогам законодавства України у сферах технічного та криптографічного захисту інформації і кіберзахисту.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 xml:space="preserve">Система захисту інформації ЗВІД повинна забезпечувати: 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захист інформації та інформаційних ресурсів Держмитслужби під час їх взаємодії з мережею Інтернет;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захист апаратно-програмних засобів ЗВІД від несанкціонованого доступу та шкідливого програмного забезпечення;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контроль доступу до інформаційних ресурсів, реєстрацію та контроль дій користувачів;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моніторинг інформаційної безпеки ЗВІД, виявлення та обробку подій та інцидентів інформаційної безпеки;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цілісність інформаційних ресурсів, програмного забезпечення та даних;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безперервність функціонування засобів захисту та можливість відновлення функціонування ЗВІД після відмов або переривання обслуговування.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Захист від DDoS-атак повинен забезпечувати: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захист інформаційних ресурсів Держмитслужби від DDoS-атак мережевого, транспортного та прикладного рівнів;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lastRenderedPageBreak/>
        <w:t>– автоматичне виявлення, фільтрацію та блокування нелегітимного трафіку;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очищення мережевого трафіку від DDoS-атак із забезпеченням доступності інформаційних ресурсів Держмитслужби;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безперервний моніторинг стану захисту, аналіз мережевого трафіку та реагування на виявлені DDoS-атаки;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забезпечення безперервності захисту інформаційних ресурсів Держмитслужби за рахунок використання основного та резервного програмно-апаратних комплексів.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З метою забезпечення належного рівня кіберзахисту інформаційних ресурсів Держмитслужби при наданні послуг передбачається застосування програмно-апаратного комплексу захисту від DDoS-атак, що забезпечує: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захист від DDoS-атак мережевого, транспортного та прикладного рівнів (L3, L4, L7 рівнів еталонної моделі OSI);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автоматичне виявлення, фільтрацію та блокування нелегітимного трафіку;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очищення мережевого трафіку від DDoS-атак із забезпеченням доступності інформаційних ресурсів Держмитслужби;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застосування механізмів фільтрації трафіку за ІР-адресами, протоколами та іншими визначеними параметрами;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  <w:r w:rsidRPr="001F6D44">
        <w:rPr>
          <w:rFonts w:eastAsia="Calibri" w:cs="Times New Roman"/>
          <w:sz w:val="24"/>
          <w:szCs w:val="24"/>
        </w:rPr>
        <w:t>– моніторинг стану захисту та аналіз мережевого трафіку.</w:t>
      </w:r>
    </w:p>
    <w:p w:rsidR="001F6D44" w:rsidRPr="001F6D44" w:rsidRDefault="001F6D44" w:rsidP="001F6D44">
      <w:pPr>
        <w:ind w:firstLine="426"/>
        <w:jc w:val="both"/>
        <w:rPr>
          <w:rFonts w:eastAsia="Calibri" w:cs="Times New Roman"/>
          <w:sz w:val="24"/>
          <w:szCs w:val="24"/>
        </w:rPr>
      </w:pPr>
    </w:p>
    <w:p w:rsidR="00A16696" w:rsidRPr="00A16696" w:rsidRDefault="00A16696" w:rsidP="00A16696">
      <w:pPr>
        <w:tabs>
          <w:tab w:val="left" w:pos="1134"/>
        </w:tabs>
        <w:ind w:firstLine="567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A16696">
        <w:rPr>
          <w:rFonts w:eastAsia="Times New Roman" w:cs="Times New Roman"/>
          <w:sz w:val="24"/>
          <w:szCs w:val="24"/>
          <w:lang w:eastAsia="ar-SA"/>
        </w:rPr>
        <w:t>3.</w:t>
      </w:r>
      <w:r w:rsidRPr="00A16696">
        <w:rPr>
          <w:rFonts w:eastAsia="Times New Roman" w:cs="Times New Roman"/>
          <w:sz w:val="24"/>
          <w:szCs w:val="24"/>
          <w:lang w:eastAsia="ar-SA"/>
        </w:rPr>
        <w:tab/>
        <w:t>Обґрунтування обсягів закупівлі (відповідно до чого визначено обсяги закупівлі або підставі чого обраховано) обсяги закупівель визначені відповідно до потреб замовника на 202</w:t>
      </w:r>
      <w:r w:rsidR="001F6D44">
        <w:rPr>
          <w:rFonts w:eastAsia="Times New Roman" w:cs="Times New Roman"/>
          <w:sz w:val="24"/>
          <w:szCs w:val="24"/>
          <w:lang w:eastAsia="ar-SA"/>
        </w:rPr>
        <w:t>7</w:t>
      </w:r>
      <w:r w:rsidRPr="00A16696">
        <w:rPr>
          <w:rFonts w:eastAsia="Times New Roman" w:cs="Times New Roman"/>
          <w:sz w:val="24"/>
          <w:szCs w:val="24"/>
          <w:lang w:eastAsia="ar-SA"/>
        </w:rPr>
        <w:t xml:space="preserve"> рік.</w:t>
      </w:r>
    </w:p>
    <w:p w:rsidR="00A16696" w:rsidRPr="00A16696" w:rsidRDefault="00A16696" w:rsidP="00A16696">
      <w:pPr>
        <w:tabs>
          <w:tab w:val="left" w:pos="1134"/>
        </w:tabs>
        <w:ind w:firstLine="567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:rsidR="003E1EB4" w:rsidRPr="00A16696" w:rsidRDefault="00A16696" w:rsidP="00A16696">
      <w:pPr>
        <w:tabs>
          <w:tab w:val="left" w:pos="1134"/>
        </w:tabs>
        <w:ind w:firstLine="567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A16696">
        <w:rPr>
          <w:rFonts w:eastAsia="Times New Roman" w:cs="Times New Roman"/>
          <w:sz w:val="24"/>
          <w:szCs w:val="24"/>
          <w:lang w:eastAsia="ar-SA"/>
        </w:rPr>
        <w:t>4.</w:t>
      </w:r>
      <w:r w:rsidRPr="00A16696">
        <w:rPr>
          <w:rFonts w:eastAsia="Times New Roman" w:cs="Times New Roman"/>
          <w:sz w:val="24"/>
          <w:szCs w:val="24"/>
          <w:lang w:eastAsia="ar-SA"/>
        </w:rPr>
        <w:tab/>
        <w:t>Обґрунтування технічних та якісних характеристик закупівлі (якісні характеристики) визначено відповідно до потреб замовника та з урахуванням загальноприйнятих норм і стандартів для зазначеного предмета закупівлі.</w:t>
      </w:r>
    </w:p>
    <w:p w:rsidR="00A16696" w:rsidRDefault="00A16696">
      <w:pPr>
        <w:tabs>
          <w:tab w:val="left" w:pos="1134"/>
        </w:tabs>
        <w:ind w:firstLine="567"/>
        <w:contextualSpacing/>
        <w:jc w:val="both"/>
        <w:rPr>
          <w:rFonts w:eastAsia="Times New Roman" w:cs="Times New Roman"/>
          <w:sz w:val="20"/>
          <w:szCs w:val="20"/>
          <w:lang w:eastAsia="ar-SA"/>
        </w:rPr>
      </w:pPr>
    </w:p>
    <w:p w:rsidR="003E1EB4" w:rsidRDefault="00A16696">
      <w:pPr>
        <w:tabs>
          <w:tab w:val="left" w:pos="1134"/>
        </w:tabs>
        <w:ind w:firstLine="567"/>
        <w:contextualSpacing/>
        <w:jc w:val="both"/>
        <w:rPr>
          <w:rFonts w:eastAsia="Calibri" w:cs="Times New Roman"/>
          <w:sz w:val="24"/>
          <w:szCs w:val="24"/>
          <w:lang w:eastAsia="uk-UA"/>
        </w:rPr>
      </w:pPr>
      <w:r>
        <w:rPr>
          <w:rFonts w:eastAsia="Calibri" w:cs="Times New Roman"/>
          <w:sz w:val="24"/>
          <w:szCs w:val="24"/>
          <w:lang w:eastAsia="uk-UA"/>
        </w:rPr>
        <w:t>5</w:t>
      </w:r>
      <w:r w:rsidR="0020078A">
        <w:rPr>
          <w:rFonts w:eastAsia="Calibri" w:cs="Times New Roman"/>
          <w:sz w:val="24"/>
          <w:szCs w:val="24"/>
          <w:lang w:eastAsia="uk-UA"/>
        </w:rPr>
        <w:t>.</w:t>
      </w:r>
      <w:r w:rsidR="0020078A">
        <w:rPr>
          <w:rFonts w:ascii="TimesNewRomanPSMT" w:hAnsi="TimesNewRomanPSMT" w:cs="TimesNewRomanPSMT"/>
          <w:sz w:val="24"/>
          <w:szCs w:val="24"/>
        </w:rPr>
        <w:t xml:space="preserve"> </w:t>
      </w:r>
      <w:r w:rsidR="0020078A">
        <w:rPr>
          <w:rFonts w:eastAsia="Calibri" w:cs="Times New Roman"/>
          <w:sz w:val="24"/>
          <w:szCs w:val="24"/>
          <w:lang w:eastAsia="uk-UA"/>
        </w:rPr>
        <w:t xml:space="preserve">Обґрунтування очікуваної вартості закупівлі: </w:t>
      </w:r>
      <w:r w:rsidR="001F6D44">
        <w:rPr>
          <w:rFonts w:eastAsia="Calibri" w:cs="Times New Roman"/>
          <w:sz w:val="24"/>
          <w:szCs w:val="24"/>
          <w:lang w:eastAsia="uk-UA"/>
        </w:rPr>
        <w:t>10 396 800</w:t>
      </w:r>
      <w:r>
        <w:rPr>
          <w:rFonts w:eastAsia="Calibri" w:cs="Times New Roman"/>
          <w:sz w:val="24"/>
          <w:szCs w:val="24"/>
          <w:lang w:eastAsia="uk-UA"/>
        </w:rPr>
        <w:t>,00</w:t>
      </w:r>
      <w:r w:rsidR="0020078A">
        <w:rPr>
          <w:rFonts w:eastAsia="Calibri" w:cs="Times New Roman"/>
          <w:sz w:val="24"/>
          <w:szCs w:val="24"/>
          <w:lang w:eastAsia="uk-UA"/>
        </w:rPr>
        <w:t xml:space="preserve"> грн</w:t>
      </w:r>
      <w:r w:rsidR="001F6D44">
        <w:rPr>
          <w:rFonts w:eastAsia="Calibri" w:cs="Times New Roman"/>
          <w:sz w:val="24"/>
          <w:szCs w:val="24"/>
          <w:lang w:eastAsia="uk-UA"/>
        </w:rPr>
        <w:t xml:space="preserve"> з ПДВ (8 664 000,00 без ПДВ),</w:t>
      </w:r>
      <w:bookmarkStart w:id="0" w:name="_GoBack"/>
      <w:bookmarkEnd w:id="0"/>
      <w:r w:rsidR="0020078A">
        <w:rPr>
          <w:rFonts w:eastAsia="Calibri" w:cs="Times New Roman"/>
          <w:sz w:val="24"/>
          <w:szCs w:val="24"/>
          <w:lang w:eastAsia="uk-UA"/>
        </w:rPr>
        <w:t xml:space="preserve"> вартість послуг сформовано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275, а саме на підставі проведеного аналізу цін на аналогічні за технічними характеристиками послуги в мережі Інтернет</w:t>
      </w:r>
      <w:r>
        <w:rPr>
          <w:rFonts w:eastAsia="Calibri" w:cs="Times New Roman"/>
          <w:sz w:val="24"/>
          <w:szCs w:val="24"/>
          <w:lang w:eastAsia="uk-UA"/>
        </w:rPr>
        <w:t>.</w:t>
      </w:r>
      <w:r w:rsidRPr="00A16696">
        <w:t xml:space="preserve"> </w:t>
      </w:r>
      <w:r w:rsidRPr="00A16696">
        <w:rPr>
          <w:rFonts w:eastAsia="Calibri" w:cs="Times New Roman"/>
          <w:sz w:val="24"/>
          <w:szCs w:val="24"/>
          <w:lang w:eastAsia="uk-UA"/>
        </w:rPr>
        <w:t>Так, очікувана вартість предмету закупівлі визначена на підставі ціни за попереднім договором.</w:t>
      </w:r>
    </w:p>
    <w:sectPr w:rsidR="003E1E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EB4" w:rsidRDefault="0020078A">
      <w:r>
        <w:separator/>
      </w:r>
    </w:p>
  </w:endnote>
  <w:endnote w:type="continuationSeparator" w:id="0">
    <w:p w:rsidR="003E1EB4" w:rsidRDefault="0020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EB4" w:rsidRDefault="0020078A">
      <w:r>
        <w:separator/>
      </w:r>
    </w:p>
  </w:footnote>
  <w:footnote w:type="continuationSeparator" w:id="0">
    <w:p w:rsidR="003E1EB4" w:rsidRDefault="00200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291A10"/>
    <w:multiLevelType w:val="multilevel"/>
    <w:tmpl w:val="56291A10"/>
    <w:lvl w:ilvl="0">
      <w:start w:val="1"/>
      <w:numFmt w:val="decimal"/>
      <w:pStyle w:val="a"/>
      <w:lvlText w:val="%1."/>
      <w:lvlJc w:val="left"/>
      <w:pPr>
        <w:ind w:left="786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8FA4F3D"/>
    <w:multiLevelType w:val="multilevel"/>
    <w:tmpl w:val="78FA4F3D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92" w:hanging="360"/>
      </w:pPr>
    </w:lvl>
    <w:lvl w:ilvl="2">
      <w:start w:val="1"/>
      <w:numFmt w:val="lowerRoman"/>
      <w:lvlText w:val="%3."/>
      <w:lvlJc w:val="right"/>
      <w:pPr>
        <w:ind w:left="3012" w:hanging="180"/>
      </w:pPr>
    </w:lvl>
    <w:lvl w:ilvl="3">
      <w:start w:val="1"/>
      <w:numFmt w:val="decimal"/>
      <w:lvlText w:val="%4."/>
      <w:lvlJc w:val="left"/>
      <w:pPr>
        <w:ind w:left="3732" w:hanging="360"/>
      </w:pPr>
    </w:lvl>
    <w:lvl w:ilvl="4">
      <w:start w:val="1"/>
      <w:numFmt w:val="lowerLetter"/>
      <w:lvlText w:val="%5."/>
      <w:lvlJc w:val="left"/>
      <w:pPr>
        <w:ind w:left="4452" w:hanging="360"/>
      </w:pPr>
    </w:lvl>
    <w:lvl w:ilvl="5">
      <w:start w:val="1"/>
      <w:numFmt w:val="lowerRoman"/>
      <w:lvlText w:val="%6."/>
      <w:lvlJc w:val="right"/>
      <w:pPr>
        <w:ind w:left="5172" w:hanging="180"/>
      </w:pPr>
    </w:lvl>
    <w:lvl w:ilvl="6">
      <w:start w:val="1"/>
      <w:numFmt w:val="decimal"/>
      <w:lvlText w:val="%7."/>
      <w:lvlJc w:val="left"/>
      <w:pPr>
        <w:ind w:left="5892" w:hanging="360"/>
      </w:pPr>
    </w:lvl>
    <w:lvl w:ilvl="7">
      <w:start w:val="1"/>
      <w:numFmt w:val="lowerLetter"/>
      <w:lvlText w:val="%8."/>
      <w:lvlJc w:val="left"/>
      <w:pPr>
        <w:ind w:left="6612" w:hanging="360"/>
      </w:pPr>
    </w:lvl>
    <w:lvl w:ilvl="8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18E"/>
    <w:rsid w:val="0003718E"/>
    <w:rsid w:val="000C6E30"/>
    <w:rsid w:val="00137FCC"/>
    <w:rsid w:val="001463DB"/>
    <w:rsid w:val="001F6D44"/>
    <w:rsid w:val="0020078A"/>
    <w:rsid w:val="00281F42"/>
    <w:rsid w:val="002839E4"/>
    <w:rsid w:val="00293956"/>
    <w:rsid w:val="0033663D"/>
    <w:rsid w:val="00396DF7"/>
    <w:rsid w:val="003E1EB4"/>
    <w:rsid w:val="00402568"/>
    <w:rsid w:val="00464A76"/>
    <w:rsid w:val="0051223A"/>
    <w:rsid w:val="00534801"/>
    <w:rsid w:val="005527AD"/>
    <w:rsid w:val="006841C4"/>
    <w:rsid w:val="006F557D"/>
    <w:rsid w:val="007329CB"/>
    <w:rsid w:val="00733068"/>
    <w:rsid w:val="0074456E"/>
    <w:rsid w:val="00791D58"/>
    <w:rsid w:val="007E48A6"/>
    <w:rsid w:val="007F73ED"/>
    <w:rsid w:val="0084248B"/>
    <w:rsid w:val="008463DD"/>
    <w:rsid w:val="00860A1D"/>
    <w:rsid w:val="008C7E29"/>
    <w:rsid w:val="009141EA"/>
    <w:rsid w:val="0092337D"/>
    <w:rsid w:val="009255E7"/>
    <w:rsid w:val="00957C68"/>
    <w:rsid w:val="00984C2C"/>
    <w:rsid w:val="009B5358"/>
    <w:rsid w:val="009B6ECD"/>
    <w:rsid w:val="00A16696"/>
    <w:rsid w:val="00A238BF"/>
    <w:rsid w:val="00B24970"/>
    <w:rsid w:val="00BC2816"/>
    <w:rsid w:val="00C0074F"/>
    <w:rsid w:val="00C40146"/>
    <w:rsid w:val="00D56785"/>
    <w:rsid w:val="00E6214C"/>
    <w:rsid w:val="00EE391C"/>
    <w:rsid w:val="00F238FE"/>
    <w:rsid w:val="00FF3F42"/>
    <w:rsid w:val="06A2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35CFB"/>
  <w15:docId w15:val="{CD715F60-54C6-435F-B36F-C9B28C6A0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a6">
    <w:name w:val="Emphasis"/>
    <w:uiPriority w:val="99"/>
    <w:qFormat/>
    <w:rPr>
      <w:i/>
      <w:iCs/>
    </w:rPr>
  </w:style>
  <w:style w:type="character" w:styleId="a7">
    <w:name w:val="Hyperlink"/>
    <w:basedOn w:val="a1"/>
    <w:uiPriority w:val="99"/>
    <w:unhideWhenUsed/>
    <w:qFormat/>
    <w:rPr>
      <w:color w:val="0563C1" w:themeColor="hyperlink"/>
      <w:u w:val="single"/>
    </w:rPr>
  </w:style>
  <w:style w:type="paragraph" w:styleId="a8">
    <w:name w:val="Normal (Web)"/>
    <w:basedOn w:val="a0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table" w:styleId="a9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0"/>
    <w:link w:val="ab"/>
    <w:uiPriority w:val="34"/>
    <w:qFormat/>
    <w:pPr>
      <w:ind w:left="720"/>
      <w:contextualSpacing/>
    </w:pPr>
  </w:style>
  <w:style w:type="character" w:customStyle="1" w:styleId="ab">
    <w:name w:val="Абзац списку Знак"/>
    <w:link w:val="aa"/>
    <w:uiPriority w:val="34"/>
    <w:qFormat/>
    <w:rPr>
      <w:rFonts w:ascii="Times New Roman" w:hAnsi="Times New Roman"/>
      <w:sz w:val="28"/>
    </w:rPr>
  </w:style>
  <w:style w:type="paragraph" w:customStyle="1" w:styleId="ac">
    <w:name w:val="Номер"/>
    <w:basedOn w:val="a0"/>
    <w:qFormat/>
    <w:pPr>
      <w:tabs>
        <w:tab w:val="left" w:pos="1134"/>
      </w:tabs>
      <w:spacing w:before="120" w:after="120"/>
      <w:ind w:firstLine="709"/>
      <w:jc w:val="both"/>
    </w:pPr>
    <w:rPr>
      <w:rFonts w:ascii="Calibri" w:eastAsia="Times New Roman" w:hAnsi="Calibri" w:cs="Calibri"/>
      <w:szCs w:val="28"/>
      <w:lang w:eastAsia="ru-RU"/>
    </w:rPr>
  </w:style>
  <w:style w:type="character" w:customStyle="1" w:styleId="a5">
    <w:name w:val="Текст у виносці Знак"/>
    <w:basedOn w:val="a1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ad">
    <w:name w:val="Основной текст_"/>
    <w:link w:val="3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0"/>
    <w:link w:val="ad"/>
    <w:qFormat/>
    <w:pPr>
      <w:widowControl w:val="0"/>
      <w:shd w:val="clear" w:color="auto" w:fill="FFFFFF"/>
      <w:spacing w:after="60" w:line="0" w:lineRule="atLeast"/>
      <w:ind w:hanging="420"/>
      <w:jc w:val="right"/>
    </w:pPr>
    <w:rPr>
      <w:rFonts w:eastAsia="Times New Roman"/>
      <w:sz w:val="23"/>
      <w:szCs w:val="23"/>
    </w:rPr>
  </w:style>
  <w:style w:type="paragraph" w:customStyle="1" w:styleId="ae">
    <w:name w:val="Абзац ТВ"/>
    <w:basedOn w:val="a0"/>
    <w:qFormat/>
    <w:pPr>
      <w:ind w:firstLine="567"/>
      <w:jc w:val="both"/>
    </w:pPr>
    <w:rPr>
      <w:rFonts w:eastAsia="Calibri" w:cs="Times New Roman"/>
      <w:sz w:val="24"/>
      <w:szCs w:val="24"/>
      <w:lang w:eastAsia="uk-UA"/>
    </w:rPr>
  </w:style>
  <w:style w:type="table" w:customStyle="1" w:styleId="11">
    <w:name w:val="Сетка таблицы1"/>
    <w:basedOn w:val="a2"/>
    <w:uiPriority w:val="59"/>
    <w:qFormat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аголовок ТВ"/>
    <w:basedOn w:val="1"/>
    <w:qFormat/>
    <w:pPr>
      <w:keepLines w:val="0"/>
      <w:numPr>
        <w:numId w:val="1"/>
      </w:numPr>
      <w:tabs>
        <w:tab w:val="left" w:pos="993"/>
      </w:tabs>
      <w:spacing w:before="280"/>
      <w:ind w:left="0" w:firstLine="567"/>
      <w:contextualSpacing/>
      <w:jc w:val="both"/>
    </w:pPr>
    <w:rPr>
      <w:rFonts w:ascii="Times New Roman" w:eastAsia="Calibri" w:hAnsi="Times New Roman" w:cs="Times New Roman"/>
      <w:b/>
      <w:bCs/>
      <w:color w:val="000000" w:themeColor="text1"/>
      <w:sz w:val="24"/>
      <w:szCs w:val="24"/>
      <w:lang w:eastAsia="uk-UA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1">
    <w:name w:val="Номер2"/>
    <w:basedOn w:val="ac"/>
    <w:qFormat/>
    <w:pPr>
      <w:tabs>
        <w:tab w:val="clear" w:pos="1134"/>
        <w:tab w:val="left" w:pos="5104"/>
      </w:tabs>
      <w:spacing w:before="0"/>
      <w:ind w:left="3686"/>
    </w:pPr>
    <w:rPr>
      <w:rFonts w:ascii="Times New Roman" w:hAnsi="Times New Roman" w:cs="Times New Roman"/>
      <w:szCs w:val="24"/>
      <w:lang w:val="zh-CN"/>
    </w:rPr>
  </w:style>
  <w:style w:type="paragraph" w:customStyle="1" w:styleId="30">
    <w:name w:val="Номер3"/>
    <w:basedOn w:val="21"/>
    <w:qFormat/>
    <w:pPr>
      <w:tabs>
        <w:tab w:val="clear" w:pos="5104"/>
        <w:tab w:val="left" w:pos="1701"/>
      </w:tabs>
      <w:ind w:left="0"/>
    </w:pPr>
  </w:style>
  <w:style w:type="paragraph" w:customStyle="1" w:styleId="4">
    <w:name w:val="Номер4"/>
    <w:basedOn w:val="30"/>
    <w:qFormat/>
    <w:pPr>
      <w:tabs>
        <w:tab w:val="clear" w:pos="1701"/>
        <w:tab w:val="left" w:pos="1985"/>
      </w:tabs>
    </w:pPr>
  </w:style>
  <w:style w:type="paragraph" w:customStyle="1" w:styleId="5">
    <w:name w:val="Номер5"/>
    <w:basedOn w:val="4"/>
    <w:qFormat/>
    <w:pPr>
      <w:tabs>
        <w:tab w:val="clear" w:pos="1985"/>
        <w:tab w:val="left" w:pos="2268"/>
      </w:tabs>
    </w:pPr>
  </w:style>
  <w:style w:type="paragraph" w:customStyle="1" w:styleId="6">
    <w:name w:val="Номер6"/>
    <w:basedOn w:val="5"/>
    <w:pPr>
      <w:tabs>
        <w:tab w:val="clear" w:pos="2268"/>
        <w:tab w:val="left" w:pos="2552"/>
      </w:tabs>
    </w:pPr>
  </w:style>
  <w:style w:type="paragraph" w:customStyle="1" w:styleId="7">
    <w:name w:val="Номер7"/>
    <w:basedOn w:val="6"/>
    <w:qFormat/>
    <w:pPr>
      <w:tabs>
        <w:tab w:val="clear" w:pos="2552"/>
        <w:tab w:val="left" w:pos="2835"/>
      </w:tabs>
    </w:pPr>
  </w:style>
  <w:style w:type="paragraph" w:customStyle="1" w:styleId="8">
    <w:name w:val="Номер8"/>
    <w:basedOn w:val="7"/>
    <w:qFormat/>
    <w:pPr>
      <w:tabs>
        <w:tab w:val="clear" w:pos="2835"/>
        <w:tab w:val="left" w:pos="3119"/>
      </w:tabs>
    </w:pPr>
  </w:style>
  <w:style w:type="paragraph" w:customStyle="1" w:styleId="9">
    <w:name w:val="Номер9"/>
    <w:basedOn w:val="8"/>
    <w:qFormat/>
    <w:pPr>
      <w:tabs>
        <w:tab w:val="clear" w:pos="3119"/>
        <w:tab w:val="left" w:pos="3402"/>
      </w:tabs>
    </w:pPr>
  </w:style>
  <w:style w:type="character" w:customStyle="1" w:styleId="20">
    <w:name w:val="Заголовок 2 Знак"/>
    <w:basedOn w:val="a1"/>
    <w:link w:val="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80">
    <w:name w:val="Основной текст8"/>
    <w:basedOn w:val="a0"/>
    <w:qFormat/>
    <w:pPr>
      <w:widowControl w:val="0"/>
      <w:shd w:val="clear" w:color="auto" w:fill="FFFFFF"/>
      <w:spacing w:before="540" w:after="300" w:line="0" w:lineRule="atLeast"/>
      <w:ind w:hanging="360"/>
      <w:jc w:val="both"/>
    </w:pPr>
    <w:rPr>
      <w:rFonts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2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3243</Words>
  <Characters>1849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Okhrymchuk Irina</dc:creator>
  <cp:lastModifiedBy>User</cp:lastModifiedBy>
  <cp:revision>50</cp:revision>
  <cp:lastPrinted>2026-01-09T09:01:00Z</cp:lastPrinted>
  <dcterms:created xsi:type="dcterms:W3CDTF">2024-04-11T08:32:00Z</dcterms:created>
  <dcterms:modified xsi:type="dcterms:W3CDTF">2026-10-16T10:06:00Z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C258B445674446428F069671EDCBBD1A_12</vt:lpwstr>
  </property>
</Properties>
</file>