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4C" w:rsidRDefault="00FB054C" w:rsidP="00E22D96">
      <w:pPr>
        <w:spacing w:after="120"/>
        <w:jc w:val="center"/>
        <w:rPr>
          <w:b/>
          <w:bCs/>
          <w:lang w:val="uk-UA"/>
        </w:rPr>
      </w:pPr>
    </w:p>
    <w:p w:rsidR="0024788B" w:rsidRDefault="0024788B" w:rsidP="00E22D96">
      <w:pPr>
        <w:spacing w:after="120"/>
        <w:jc w:val="center"/>
        <w:rPr>
          <w:b/>
          <w:bCs/>
          <w:lang w:val="uk-UA"/>
        </w:rPr>
      </w:pPr>
    </w:p>
    <w:p w:rsidR="00FB054C" w:rsidRDefault="00FB054C" w:rsidP="00E22D96">
      <w:pPr>
        <w:spacing w:after="1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ПОВІДОМЛЕННЯ</w:t>
      </w:r>
      <w:r w:rsidRPr="005536F3">
        <w:rPr>
          <w:b/>
          <w:bCs/>
          <w:lang w:val="uk-UA"/>
        </w:rPr>
        <w:br/>
      </w:r>
      <w:r>
        <w:rPr>
          <w:b/>
          <w:bCs/>
          <w:lang w:val="uk-UA"/>
        </w:rPr>
        <w:t xml:space="preserve">про намір укласти договір під час </w:t>
      </w:r>
      <w:r w:rsidRPr="00613618">
        <w:rPr>
          <w:b/>
          <w:bCs/>
          <w:lang w:val="uk-UA"/>
        </w:rPr>
        <w:t xml:space="preserve">застосування </w:t>
      </w:r>
      <w:r w:rsidRPr="00B33557">
        <w:rPr>
          <w:b/>
          <w:bCs/>
          <w:lang w:val="uk-UA"/>
        </w:rPr>
        <w:t>переговорної процедури</w:t>
      </w:r>
      <w:r>
        <w:rPr>
          <w:b/>
          <w:bCs/>
          <w:lang w:val="uk-UA"/>
        </w:rPr>
        <w:t xml:space="preserve"> (скорочена)</w:t>
      </w:r>
    </w:p>
    <w:p w:rsidR="00FB054C" w:rsidRDefault="00FB054C" w:rsidP="00E22D96">
      <w:pPr>
        <w:spacing w:after="120"/>
        <w:jc w:val="center"/>
        <w:rPr>
          <w:b/>
          <w:bCs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536"/>
        <w:gridCol w:w="4395"/>
      </w:tblGrid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Найменування замовника</w:t>
            </w:r>
          </w:p>
        </w:tc>
        <w:tc>
          <w:tcPr>
            <w:tcW w:w="4395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Державна митна служба України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2.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Код згідно з ЄДРПОУ</w:t>
            </w:r>
          </w:p>
        </w:tc>
        <w:tc>
          <w:tcPr>
            <w:tcW w:w="4395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43115923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3.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Місцезнаходження замовника</w:t>
            </w:r>
          </w:p>
        </w:tc>
        <w:tc>
          <w:tcPr>
            <w:tcW w:w="4395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smartTag w:uri="urn:schemas-microsoft-com:office:smarttags" w:element="metricconverter">
              <w:smartTagPr>
                <w:attr w:name="ProductID" w:val="04119, м"/>
              </w:smartTagPr>
              <w:r w:rsidRPr="00590026">
                <w:rPr>
                  <w:lang w:val="uk-UA"/>
                </w:rPr>
                <w:t>04119, м</w:t>
              </w:r>
            </w:smartTag>
            <w:r w:rsidRPr="00590026">
              <w:rPr>
                <w:lang w:val="uk-UA"/>
              </w:rPr>
              <w:t>. Київ, вул. Дегтярівська, 11Г</w:t>
            </w:r>
          </w:p>
        </w:tc>
      </w:tr>
      <w:tr w:rsidR="00FB054C" w:rsidRPr="00535AE9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4.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Конкретна назва предмета закупівлі</w:t>
            </w:r>
          </w:p>
        </w:tc>
        <w:tc>
          <w:tcPr>
            <w:tcW w:w="4395" w:type="dxa"/>
          </w:tcPr>
          <w:p w:rsidR="00FB054C" w:rsidRPr="00590026" w:rsidRDefault="004B0C48" w:rsidP="004B0C48">
            <w:pPr>
              <w:rPr>
                <w:bCs/>
                <w:lang w:val="uk-UA"/>
              </w:rPr>
            </w:pPr>
            <w:r w:rsidRPr="004B0C48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Послуги з водопостачання </w:t>
            </w:r>
            <w:r w:rsidR="00F136AD">
              <w:rPr>
                <w:bCs/>
                <w:lang w:val="uk-UA"/>
              </w:rPr>
              <w:t>за адресою</w:t>
            </w:r>
            <w:r w:rsidR="00F136AD" w:rsidRPr="00D72206">
              <w:rPr>
                <w:lang w:val="uk-UA"/>
              </w:rPr>
              <w:t>, м. Київ, вул</w:t>
            </w:r>
            <w:r w:rsidR="00F136AD">
              <w:rPr>
                <w:lang w:val="uk-UA"/>
              </w:rPr>
              <w:t>.</w:t>
            </w:r>
            <w:r w:rsidR="00F136AD" w:rsidRPr="00D72206">
              <w:rPr>
                <w:lang w:val="uk-UA"/>
              </w:rPr>
              <w:t xml:space="preserve"> Дегтярівська, 11г;</w:t>
            </w:r>
            <w:r w:rsidRPr="004B0C48">
              <w:t xml:space="preserve"> </w:t>
            </w:r>
            <w:r w:rsidR="00F136AD" w:rsidRPr="00D72206">
              <w:rPr>
                <w:lang w:val="uk-UA"/>
              </w:rPr>
              <w:t>вул</w:t>
            </w:r>
            <w:r w:rsidR="00F136AD">
              <w:rPr>
                <w:lang w:val="uk-UA"/>
              </w:rPr>
              <w:t>.</w:t>
            </w:r>
            <w:r w:rsidR="00F136AD" w:rsidRPr="00D72206">
              <w:rPr>
                <w:lang w:val="uk-UA"/>
              </w:rPr>
              <w:t xml:space="preserve"> Дегтярівська, 11а,</w:t>
            </w:r>
            <w:r>
              <w:rPr>
                <w:lang w:val="uk-UA"/>
              </w:rPr>
              <w:t xml:space="preserve"> </w:t>
            </w:r>
            <w:r w:rsidR="00F136AD" w:rsidRPr="00D72206">
              <w:rPr>
                <w:lang w:val="uk-UA"/>
              </w:rPr>
              <w:t>вул</w:t>
            </w:r>
            <w:r w:rsidR="00F136AD">
              <w:rPr>
                <w:lang w:val="uk-UA"/>
              </w:rPr>
              <w:t>. Саксаганського,66.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5.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395" w:type="dxa"/>
          </w:tcPr>
          <w:p w:rsidR="00FB054C" w:rsidRPr="00590026" w:rsidRDefault="00FB054C" w:rsidP="004B0C48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 xml:space="preserve">КодДК021:2015 </w:t>
            </w:r>
            <w:r w:rsidR="004B0C48">
              <w:rPr>
                <w:bCs/>
                <w:lang w:val="uk-UA"/>
              </w:rPr>
              <w:t>6511</w:t>
            </w:r>
            <w:r w:rsidR="00025DCD">
              <w:rPr>
                <w:bCs/>
                <w:lang w:val="uk-UA"/>
              </w:rPr>
              <w:t>0000</w:t>
            </w:r>
            <w:r w:rsidRPr="00590026">
              <w:rPr>
                <w:bCs/>
                <w:lang w:val="uk-UA"/>
              </w:rPr>
              <w:t>-</w:t>
            </w:r>
            <w:r w:rsidR="004B0C48">
              <w:rPr>
                <w:bCs/>
                <w:lang w:val="uk-UA"/>
              </w:rPr>
              <w:t>7</w:t>
            </w:r>
            <w:r w:rsidR="0038498F">
              <w:rPr>
                <w:bCs/>
                <w:lang w:val="uk-UA"/>
              </w:rPr>
              <w:t xml:space="preserve"> </w:t>
            </w:r>
            <w:r w:rsidR="004B0C48">
              <w:rPr>
                <w:bCs/>
                <w:lang w:val="uk-UA"/>
              </w:rPr>
              <w:t>Розподіл води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6.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Кількість товарів або обсяг виконання робіт чи надання послуг</w:t>
            </w:r>
          </w:p>
        </w:tc>
        <w:tc>
          <w:tcPr>
            <w:tcW w:w="4395" w:type="dxa"/>
          </w:tcPr>
          <w:p w:rsidR="00F61099" w:rsidRPr="00590026" w:rsidRDefault="007912DA" w:rsidP="0038498F">
            <w:pPr>
              <w:spacing w:after="120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9135,5398</w:t>
            </w:r>
            <w:r w:rsidR="004B0C48">
              <w:rPr>
                <w:bCs/>
                <w:lang w:val="uk-UA"/>
              </w:rPr>
              <w:t xml:space="preserve"> куб. м.</w:t>
            </w:r>
          </w:p>
        </w:tc>
      </w:tr>
      <w:tr w:rsidR="00FB054C" w:rsidRPr="00D72206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7.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lang w:val="uk-UA"/>
              </w:rPr>
              <w:t>Місце поставки товарів, виконання робіт чи надання послуг</w:t>
            </w:r>
          </w:p>
        </w:tc>
        <w:tc>
          <w:tcPr>
            <w:tcW w:w="4395" w:type="dxa"/>
          </w:tcPr>
          <w:p w:rsidR="00D72206" w:rsidRPr="00D72206" w:rsidRDefault="00D72206" w:rsidP="00D72206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4119, м"/>
              </w:smartTagPr>
              <w:r w:rsidRPr="00D72206">
                <w:rPr>
                  <w:lang w:val="uk-UA"/>
                </w:rPr>
                <w:t>04119, м</w:t>
              </w:r>
            </w:smartTag>
            <w:r w:rsidRPr="00D72206">
              <w:rPr>
                <w:lang w:val="uk-UA"/>
              </w:rPr>
              <w:t>. Київ, вул</w:t>
            </w:r>
            <w:r>
              <w:rPr>
                <w:lang w:val="uk-UA"/>
              </w:rPr>
              <w:t>.</w:t>
            </w:r>
            <w:r w:rsidRPr="00D72206">
              <w:rPr>
                <w:lang w:val="uk-UA"/>
              </w:rPr>
              <w:t xml:space="preserve"> Дегтярівська, 11</w:t>
            </w:r>
            <w:r w:rsidR="00777B1E">
              <w:rPr>
                <w:lang w:val="uk-UA"/>
              </w:rPr>
              <w:t>г</w:t>
            </w:r>
            <w:r w:rsidRPr="00D72206">
              <w:rPr>
                <w:lang w:val="uk-UA"/>
              </w:rPr>
              <w:t>,</w:t>
            </w:r>
          </w:p>
          <w:p w:rsidR="00D72206" w:rsidRPr="00D72206" w:rsidRDefault="00D72206" w:rsidP="00D72206">
            <w:pPr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04119, м"/>
              </w:smartTagPr>
              <w:r w:rsidRPr="00D72206">
                <w:rPr>
                  <w:lang w:val="uk-UA"/>
                </w:rPr>
                <w:t>04119, м</w:t>
              </w:r>
            </w:smartTag>
            <w:r w:rsidRPr="00D72206">
              <w:rPr>
                <w:lang w:val="uk-UA"/>
              </w:rPr>
              <w:t>. Київ, вул</w:t>
            </w:r>
            <w:r>
              <w:rPr>
                <w:lang w:val="uk-UA"/>
              </w:rPr>
              <w:t>.</w:t>
            </w:r>
            <w:r w:rsidRPr="00D72206">
              <w:rPr>
                <w:lang w:val="uk-UA"/>
              </w:rPr>
              <w:t xml:space="preserve"> Дегтярівська, 11</w:t>
            </w:r>
            <w:r w:rsidR="00777B1E">
              <w:rPr>
                <w:lang w:val="uk-UA"/>
              </w:rPr>
              <w:t>а</w:t>
            </w:r>
            <w:r w:rsidRPr="00D72206">
              <w:rPr>
                <w:lang w:val="uk-UA"/>
              </w:rPr>
              <w:t xml:space="preserve">; </w:t>
            </w:r>
          </w:p>
          <w:p w:rsidR="00FB054C" w:rsidRPr="00D42F97" w:rsidRDefault="00D72206" w:rsidP="00777B1E">
            <w:pPr>
              <w:rPr>
                <w:bCs/>
                <w:lang w:val="uk-UA"/>
              </w:rPr>
            </w:pPr>
            <w:r w:rsidRPr="00D72206">
              <w:rPr>
                <w:lang w:val="uk-UA"/>
              </w:rPr>
              <w:t>01033,м. Київ, вул</w:t>
            </w:r>
            <w:r>
              <w:rPr>
                <w:lang w:val="uk-UA"/>
              </w:rPr>
              <w:t>.</w:t>
            </w:r>
            <w:r w:rsidR="00777B1E">
              <w:rPr>
                <w:lang w:val="uk-UA"/>
              </w:rPr>
              <w:t xml:space="preserve"> Саксаганського,66.</w:t>
            </w:r>
          </w:p>
        </w:tc>
      </w:tr>
      <w:tr w:rsidR="00FB054C" w:rsidRPr="00D72206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8.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lang w:val="uk-UA"/>
              </w:rPr>
              <w:t>Строк поставки товарів, виконання робіт чи надання послуг</w:t>
            </w:r>
          </w:p>
        </w:tc>
        <w:tc>
          <w:tcPr>
            <w:tcW w:w="4395" w:type="dxa"/>
          </w:tcPr>
          <w:p w:rsidR="00FB054C" w:rsidRPr="00590026" w:rsidRDefault="00FB054C" w:rsidP="007912DA">
            <w:pPr>
              <w:spacing w:after="12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протягом</w:t>
            </w:r>
            <w:r w:rsidRPr="00590026">
              <w:rPr>
                <w:bCs/>
                <w:lang w:val="uk-UA"/>
              </w:rPr>
              <w:t xml:space="preserve"> 20</w:t>
            </w:r>
            <w:r>
              <w:rPr>
                <w:bCs/>
                <w:lang w:val="uk-UA"/>
              </w:rPr>
              <w:t>2</w:t>
            </w:r>
            <w:r w:rsidR="007912DA">
              <w:rPr>
                <w:bCs/>
                <w:lang w:val="uk-UA"/>
              </w:rPr>
              <w:t>1</w:t>
            </w:r>
            <w:r w:rsidRPr="00590026">
              <w:rPr>
                <w:bCs/>
                <w:lang w:val="uk-UA"/>
              </w:rPr>
              <w:t xml:space="preserve"> року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9.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lang w:val="uk-UA"/>
              </w:rPr>
              <w:t>Найменування  (для юридичної особи) або прізвище, ім'я, по батькові ( для фізичної особи)  учасника (учасників), з яким (якими) проведено переговори</w:t>
            </w:r>
          </w:p>
        </w:tc>
        <w:tc>
          <w:tcPr>
            <w:tcW w:w="4395" w:type="dxa"/>
          </w:tcPr>
          <w:p w:rsidR="00FB054C" w:rsidRPr="00590026" w:rsidRDefault="004B0C48" w:rsidP="00FB7459">
            <w:pPr>
              <w:tabs>
                <w:tab w:val="left" w:pos="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ПрАТ «АК «Київводоканал»</w:t>
            </w:r>
          </w:p>
        </w:tc>
      </w:tr>
      <w:tr w:rsidR="00FB054C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10.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>Код згідно з  ЄДРПОУ/реєстраційний номер облікової картки платника податків учасника (учасників), з яким (якими) проведено переговори</w:t>
            </w:r>
          </w:p>
        </w:tc>
        <w:tc>
          <w:tcPr>
            <w:tcW w:w="4395" w:type="dxa"/>
          </w:tcPr>
          <w:p w:rsidR="00FB7459" w:rsidRPr="00E708A4" w:rsidRDefault="00E708A4" w:rsidP="00FB7459">
            <w:pPr>
              <w:spacing w:after="120"/>
              <w:rPr>
                <w:rFonts w:eastAsia="Calibri"/>
                <w:color w:val="000000"/>
                <w:sz w:val="26"/>
                <w:szCs w:val="26"/>
                <w:lang w:val="en-US" w:eastAsia="uk-UA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 w:eastAsia="uk-UA"/>
              </w:rPr>
              <w:t>03327629</w:t>
            </w:r>
          </w:p>
          <w:p w:rsidR="00FB054C" w:rsidRPr="00C217FA" w:rsidRDefault="00FB054C" w:rsidP="00590026">
            <w:pPr>
              <w:spacing w:after="120"/>
              <w:rPr>
                <w:bCs/>
                <w:lang w:val="uk-UA"/>
              </w:rPr>
            </w:pPr>
          </w:p>
        </w:tc>
      </w:tr>
      <w:tr w:rsidR="00FB054C" w:rsidRPr="00FB7459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11.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>Місцезнаходження ( для юридичної особи) або місце проживання (для фізичної особи) учасника (учасників),з яким (якими) проведено переговори, телефон</w:t>
            </w:r>
          </w:p>
        </w:tc>
        <w:tc>
          <w:tcPr>
            <w:tcW w:w="4395" w:type="dxa"/>
          </w:tcPr>
          <w:p w:rsidR="00FB054C" w:rsidRPr="00D42F97" w:rsidRDefault="00E708A4" w:rsidP="00590026">
            <w:pPr>
              <w:tabs>
                <w:tab w:val="left" w:pos="0"/>
              </w:tabs>
              <w:ind w:left="3" w:hanging="3"/>
              <w:rPr>
                <w:bCs/>
                <w:lang w:val="uk-UA"/>
              </w:rPr>
            </w:pPr>
            <w:r w:rsidRPr="00E708A4">
              <w:rPr>
                <w:bCs/>
              </w:rPr>
              <w:t>02222</w:t>
            </w:r>
            <w:r w:rsidR="00FB054C" w:rsidRPr="00E708A4">
              <w:rPr>
                <w:bCs/>
                <w:lang w:val="uk-UA"/>
              </w:rPr>
              <w:t>,</w:t>
            </w:r>
            <w:r w:rsidRPr="00E708A4">
              <w:rPr>
                <w:bCs/>
                <w:lang w:val="uk-UA"/>
              </w:rPr>
              <w:t xml:space="preserve"> </w:t>
            </w:r>
            <w:r w:rsidR="00FB054C" w:rsidRPr="00E708A4">
              <w:rPr>
                <w:bCs/>
                <w:lang w:val="uk-UA"/>
              </w:rPr>
              <w:t xml:space="preserve">м. Київ, </w:t>
            </w:r>
            <w:r w:rsidRPr="00E708A4">
              <w:rPr>
                <w:bCs/>
                <w:lang w:val="uk-UA"/>
              </w:rPr>
              <w:t>вул. Електротехнічна</w:t>
            </w:r>
            <w:r w:rsidR="00FB054C" w:rsidRPr="00E708A4">
              <w:rPr>
                <w:bCs/>
                <w:lang w:val="uk-UA"/>
              </w:rPr>
              <w:t>,</w:t>
            </w:r>
            <w:r w:rsidRPr="00E708A4">
              <w:rPr>
                <w:bCs/>
                <w:lang w:val="uk-UA"/>
              </w:rPr>
              <w:t>16,</w:t>
            </w:r>
            <w:r w:rsidR="00FB054C" w:rsidRPr="00E708A4">
              <w:rPr>
                <w:bCs/>
                <w:lang w:val="uk-UA"/>
              </w:rPr>
              <w:t xml:space="preserve"> тел. (044) </w:t>
            </w:r>
            <w:r>
              <w:rPr>
                <w:bCs/>
                <w:lang w:val="uk-UA"/>
              </w:rPr>
              <w:t>548 12 33</w:t>
            </w:r>
          </w:p>
          <w:p w:rsidR="00FB054C" w:rsidRPr="00A14E68" w:rsidRDefault="00FB054C" w:rsidP="00590026">
            <w:pPr>
              <w:tabs>
                <w:tab w:val="left" w:pos="0"/>
              </w:tabs>
              <w:ind w:left="3" w:hanging="3"/>
              <w:rPr>
                <w:bCs/>
                <w:highlight w:val="yellow"/>
                <w:lang w:val="uk-UA"/>
              </w:rPr>
            </w:pPr>
          </w:p>
          <w:p w:rsidR="00FB054C" w:rsidRPr="00C217FA" w:rsidRDefault="00FB054C" w:rsidP="00590026">
            <w:pPr>
              <w:tabs>
                <w:tab w:val="left" w:pos="0"/>
              </w:tabs>
              <w:ind w:left="3" w:hanging="3"/>
              <w:rPr>
                <w:bCs/>
                <w:lang w:val="uk-UA"/>
              </w:rPr>
            </w:pPr>
          </w:p>
        </w:tc>
      </w:tr>
      <w:tr w:rsidR="00FB054C" w:rsidRPr="004B0C48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12.</w:t>
            </w:r>
          </w:p>
        </w:tc>
        <w:tc>
          <w:tcPr>
            <w:tcW w:w="4536" w:type="dxa"/>
          </w:tcPr>
          <w:p w:rsidR="00FB054C" w:rsidRPr="00590026" w:rsidRDefault="00FB054C" w:rsidP="00590026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>Ціна пропозиції</w:t>
            </w:r>
          </w:p>
        </w:tc>
        <w:tc>
          <w:tcPr>
            <w:tcW w:w="4395" w:type="dxa"/>
          </w:tcPr>
          <w:p w:rsidR="00777B1E" w:rsidRPr="00590026" w:rsidRDefault="007912DA" w:rsidP="007912DA">
            <w:pPr>
              <w:spacing w:after="120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121904,64</w:t>
            </w:r>
            <w:r w:rsidR="00DA435F">
              <w:rPr>
                <w:bCs/>
                <w:lang w:val="uk-UA"/>
              </w:rPr>
              <w:t xml:space="preserve"> грн. (</w:t>
            </w:r>
            <w:r>
              <w:rPr>
                <w:bCs/>
                <w:lang w:val="uk-UA"/>
              </w:rPr>
              <w:t>сто двадцять одна</w:t>
            </w:r>
            <w:r w:rsidR="00DA435F">
              <w:rPr>
                <w:bCs/>
                <w:lang w:val="uk-UA"/>
              </w:rPr>
              <w:t xml:space="preserve"> тисяч</w:t>
            </w:r>
            <w:r>
              <w:rPr>
                <w:bCs/>
                <w:lang w:val="uk-UA"/>
              </w:rPr>
              <w:t>а</w:t>
            </w:r>
            <w:r w:rsidR="00DA435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дев’ятсот чотири</w:t>
            </w:r>
            <w:r w:rsidR="00DA435F">
              <w:rPr>
                <w:bCs/>
                <w:lang w:val="uk-UA"/>
              </w:rPr>
              <w:t xml:space="preserve"> гривні </w:t>
            </w:r>
            <w:r>
              <w:rPr>
                <w:bCs/>
                <w:lang w:val="uk-UA"/>
              </w:rPr>
              <w:t>6</w:t>
            </w:r>
            <w:r w:rsidR="00DA435F">
              <w:rPr>
                <w:bCs/>
                <w:lang w:val="uk-UA"/>
              </w:rPr>
              <w:t>4 коп.</w:t>
            </w:r>
            <w:r>
              <w:rPr>
                <w:bCs/>
                <w:lang w:val="uk-UA"/>
              </w:rPr>
              <w:t>) в т.ч. ПДВ</w:t>
            </w:r>
          </w:p>
        </w:tc>
      </w:tr>
      <w:tr w:rsidR="00FB054C" w:rsidRPr="00025DCD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13.</w:t>
            </w:r>
          </w:p>
        </w:tc>
        <w:tc>
          <w:tcPr>
            <w:tcW w:w="4536" w:type="dxa"/>
          </w:tcPr>
          <w:p w:rsidR="00FB054C" w:rsidRPr="00590026" w:rsidRDefault="00FB054C" w:rsidP="00E708A4">
            <w:pPr>
              <w:spacing w:after="120"/>
              <w:rPr>
                <w:lang w:val="uk-UA"/>
              </w:rPr>
            </w:pPr>
            <w:r w:rsidRPr="00590026">
              <w:rPr>
                <w:lang w:val="uk-UA"/>
              </w:rPr>
              <w:t xml:space="preserve">Умови застосування переговорної процедури закупівлі відповідно до частини другої статті </w:t>
            </w:r>
            <w:r w:rsidR="00E708A4">
              <w:rPr>
                <w:lang w:val="uk-UA"/>
              </w:rPr>
              <w:t>40</w:t>
            </w:r>
            <w:r w:rsidRPr="00590026">
              <w:rPr>
                <w:lang w:val="uk-UA"/>
              </w:rPr>
              <w:t xml:space="preserve"> Закону України «Про публічні закупівлі»</w:t>
            </w:r>
          </w:p>
        </w:tc>
        <w:tc>
          <w:tcPr>
            <w:tcW w:w="4395" w:type="dxa"/>
          </w:tcPr>
          <w:p w:rsidR="00FB054C" w:rsidRPr="00590026" w:rsidRDefault="00FB7459" w:rsidP="00E708A4">
            <w:pPr>
              <w:jc w:val="left"/>
              <w:rPr>
                <w:bCs/>
                <w:lang w:val="uk-UA"/>
              </w:rPr>
            </w:pPr>
            <w:r w:rsidRPr="00FB7459">
              <w:rPr>
                <w:lang w:val="uk-UA" w:eastAsia="uk-UA"/>
              </w:rPr>
              <w:t xml:space="preserve">cт. </w:t>
            </w:r>
            <w:r w:rsidR="004B0C48">
              <w:rPr>
                <w:lang w:val="uk-UA" w:eastAsia="uk-UA"/>
              </w:rPr>
              <w:t>40</w:t>
            </w:r>
            <w:r w:rsidRPr="00FB7459">
              <w:rPr>
                <w:lang w:val="uk-UA" w:eastAsia="uk-UA"/>
              </w:rPr>
              <w:t xml:space="preserve">, </w:t>
            </w:r>
            <w:r w:rsidR="00E708A4">
              <w:rPr>
                <w:lang w:val="uk-UA" w:eastAsia="uk-UA"/>
              </w:rPr>
              <w:t>частина</w:t>
            </w:r>
            <w:r w:rsidRPr="00FB7459">
              <w:rPr>
                <w:lang w:val="uk-UA" w:eastAsia="uk-UA"/>
              </w:rPr>
              <w:t xml:space="preserve"> 2 </w:t>
            </w:r>
            <w:r w:rsidR="00E708A4">
              <w:rPr>
                <w:lang w:val="uk-UA" w:eastAsia="uk-UA"/>
              </w:rPr>
              <w:t xml:space="preserve"> </w:t>
            </w:r>
            <w:r w:rsidRPr="00FB7459">
              <w:rPr>
                <w:lang w:val="uk-UA" w:eastAsia="uk-UA"/>
              </w:rPr>
              <w:t>Відсутність конкуренції з технічних причин</w:t>
            </w:r>
          </w:p>
        </w:tc>
      </w:tr>
      <w:tr w:rsidR="00FB054C" w:rsidRPr="009B652A" w:rsidTr="009B652A">
        <w:tc>
          <w:tcPr>
            <w:tcW w:w="516" w:type="dxa"/>
          </w:tcPr>
          <w:p w:rsidR="00FB054C" w:rsidRPr="00590026" w:rsidRDefault="00FB054C" w:rsidP="00590026">
            <w:pPr>
              <w:spacing w:after="120"/>
              <w:jc w:val="center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14.</w:t>
            </w:r>
          </w:p>
        </w:tc>
        <w:tc>
          <w:tcPr>
            <w:tcW w:w="8931" w:type="dxa"/>
            <w:gridSpan w:val="2"/>
          </w:tcPr>
          <w:p w:rsidR="00FB054C" w:rsidRDefault="00FB054C" w:rsidP="00590026">
            <w:pPr>
              <w:spacing w:after="120"/>
              <w:rPr>
                <w:bCs/>
                <w:lang w:val="uk-UA"/>
              </w:rPr>
            </w:pPr>
            <w:r w:rsidRPr="00590026">
              <w:rPr>
                <w:bCs/>
                <w:lang w:val="uk-UA"/>
              </w:rPr>
              <w:t>Обґрунтування застосування переговорної процедури закупівлі (посилання на експертні, нормативні, технічні та інші документи, що підтверджують наявність умов застосування процедури закупівлі)</w:t>
            </w:r>
          </w:p>
          <w:p w:rsidR="009B652A" w:rsidRPr="00DA435F" w:rsidRDefault="009B652A" w:rsidP="009B652A">
            <w:pPr>
              <w:rPr>
                <w:color w:val="000000" w:themeColor="text1"/>
                <w:lang w:val="uk-UA" w:eastAsia="uk-UA"/>
              </w:rPr>
            </w:pPr>
            <w:r w:rsidRPr="00DA435F">
              <w:rPr>
                <w:color w:val="000000" w:themeColor="text1"/>
                <w:lang w:val="uk-UA" w:eastAsia="uk-UA"/>
              </w:rPr>
              <w:t>Правові та економічні засади здійснення закупівель товарів, робіт і послуг для забезпечення потреб держави та територіальної громади визначаються Законом України «Про публічні закупівлі» № 922-</w:t>
            </w:r>
            <w:r w:rsidRPr="00DA435F">
              <w:rPr>
                <w:color w:val="000000" w:themeColor="text1"/>
                <w:lang w:eastAsia="uk-UA"/>
              </w:rPr>
              <w:t>VIII</w:t>
            </w:r>
            <w:r w:rsidRPr="00DA435F">
              <w:rPr>
                <w:color w:val="000000" w:themeColor="text1"/>
                <w:lang w:val="uk-UA" w:eastAsia="uk-UA"/>
              </w:rPr>
              <w:t xml:space="preserve"> від 25.12.2015 (зі змінами) (далі – Закон</w:t>
            </w:r>
            <w:r w:rsidR="00DA435F">
              <w:rPr>
                <w:color w:val="000000" w:themeColor="text1"/>
                <w:lang w:val="uk-UA" w:eastAsia="uk-UA"/>
              </w:rPr>
              <w:t xml:space="preserve"> </w:t>
            </w:r>
            <w:r w:rsidRPr="00DA435F">
              <w:rPr>
                <w:color w:val="000000" w:themeColor="text1"/>
                <w:lang w:val="uk-UA" w:eastAsia="uk-UA"/>
              </w:rPr>
              <w:t>про</w:t>
            </w:r>
            <w:r w:rsidR="00DA435F">
              <w:rPr>
                <w:color w:val="000000" w:themeColor="text1"/>
                <w:lang w:val="uk-UA" w:eastAsia="uk-UA"/>
              </w:rPr>
              <w:t xml:space="preserve"> </w:t>
            </w:r>
            <w:r w:rsidRPr="00DA435F">
              <w:rPr>
                <w:color w:val="000000" w:themeColor="text1"/>
                <w:lang w:val="uk-UA" w:eastAsia="uk-UA"/>
              </w:rPr>
              <w:t>публічні</w:t>
            </w:r>
            <w:r w:rsidR="00DA435F">
              <w:rPr>
                <w:color w:val="000000" w:themeColor="text1"/>
                <w:lang w:val="uk-UA" w:eastAsia="uk-UA"/>
              </w:rPr>
              <w:t xml:space="preserve"> </w:t>
            </w:r>
            <w:r w:rsidRPr="00DA435F">
              <w:rPr>
                <w:color w:val="000000" w:themeColor="text1"/>
                <w:lang w:val="uk-UA" w:eastAsia="uk-UA"/>
              </w:rPr>
              <w:t xml:space="preserve">закупівлі).Закупівля : - «Розподіл води – за кодом </w:t>
            </w:r>
            <w:r w:rsidRPr="00DA435F">
              <w:rPr>
                <w:color w:val="000000" w:themeColor="text1"/>
                <w:lang w:eastAsia="uk-UA"/>
              </w:rPr>
              <w:t>CPV</w:t>
            </w:r>
            <w:r w:rsidRPr="00DA435F">
              <w:rPr>
                <w:color w:val="000000" w:themeColor="text1"/>
                <w:lang w:val="uk-UA" w:eastAsia="uk-UA"/>
              </w:rPr>
              <w:t xml:space="preserve"> за ДК </w:t>
            </w:r>
            <w:r w:rsidRPr="00DA435F">
              <w:rPr>
                <w:color w:val="000000" w:themeColor="text1"/>
                <w:lang w:val="uk-UA" w:eastAsia="uk-UA"/>
              </w:rPr>
              <w:lastRenderedPageBreak/>
              <w:t xml:space="preserve">021:2015 – 65110000-7 (Послуги з водопостачання)» </w:t>
            </w:r>
          </w:p>
          <w:p w:rsidR="00FB054C" w:rsidRPr="00DA435F" w:rsidRDefault="00FB054C" w:rsidP="00DF5049">
            <w:pPr>
              <w:tabs>
                <w:tab w:val="left" w:pos="851"/>
                <w:tab w:val="left" w:pos="993"/>
              </w:tabs>
              <w:ind w:right="-141"/>
              <w:contextualSpacing/>
              <w:rPr>
                <w:bCs/>
                <w:lang w:val="uk-UA"/>
              </w:rPr>
            </w:pPr>
          </w:p>
          <w:p w:rsidR="00DF5049" w:rsidRPr="00FB7459" w:rsidRDefault="00DF5049" w:rsidP="00DF5049">
            <w:pPr>
              <w:tabs>
                <w:tab w:val="left" w:pos="851"/>
                <w:tab w:val="left" w:pos="993"/>
              </w:tabs>
              <w:ind w:right="-141"/>
              <w:contextualSpacing/>
              <w:rPr>
                <w:bCs/>
                <w:lang w:val="uk-UA"/>
              </w:rPr>
            </w:pPr>
          </w:p>
          <w:p w:rsidR="009B652A" w:rsidRDefault="0038498F" w:rsidP="009B652A">
            <w:pPr>
              <w:rPr>
                <w:color w:val="000000" w:themeColor="text1"/>
                <w:lang w:eastAsia="uk-UA"/>
              </w:rPr>
            </w:pPr>
            <w:r w:rsidRPr="0038498F">
              <w:rPr>
                <w:lang w:val="uk-UA" w:eastAsia="uk-UA"/>
              </w:rPr>
              <w:t>Законом України від 20.04.2000 № 1682-</w:t>
            </w:r>
            <w:r w:rsidRPr="00C12A3C">
              <w:rPr>
                <w:lang w:eastAsia="uk-UA"/>
              </w:rPr>
              <w:t>III</w:t>
            </w:r>
            <w:r w:rsidRPr="0038498F">
              <w:rPr>
                <w:lang w:val="uk-UA" w:eastAsia="uk-UA"/>
              </w:rPr>
              <w:t xml:space="preserve"> «Про природні монополії» (із змінами і доповненнями) регулюється діяльність суб’єктів природних монополій, в тому числі, щодо постачання теплової енергії. </w:t>
            </w:r>
            <w:r w:rsidRPr="004B0C48">
              <w:rPr>
                <w:lang w:val="uk-UA" w:eastAsia="uk-UA"/>
              </w:rPr>
              <w:t>Частиною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другої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статті 5 Закону України «Про природні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монополії» передбачено, що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суб'єктів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складається та ведеться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Антимонопольним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комітетом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відповідно до його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повноважень. Разом з цим, пунктом 7 Порядку складання та ведення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суб'єктів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монополій, затвердженого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розпорядженням Антимонопольного комітету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від 28.11.2012 № 874-р, встановлено, що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зведений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суб'єктів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 (далі – перелік) розміщується на офіційному веб-сайті Антимонопольного комітету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України. На офіційному веб-сайті Антимонопольного комітету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України в зведеному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переліку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суб’єктів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природних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монополій м. Києва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>щодо</w:t>
            </w:r>
            <w:r w:rsidR="009B652A">
              <w:rPr>
                <w:lang w:val="uk-UA" w:eastAsia="uk-UA"/>
              </w:rPr>
              <w:t xml:space="preserve"> водопостачання та водовідведення </w:t>
            </w:r>
            <w:r>
              <w:rPr>
                <w:lang w:val="uk-UA" w:eastAsia="uk-UA"/>
              </w:rPr>
              <w:t xml:space="preserve">станом на </w:t>
            </w:r>
            <w:r w:rsidR="009B652A">
              <w:rPr>
                <w:lang w:val="uk-UA" w:eastAsia="uk-UA"/>
              </w:rPr>
              <w:t>30</w:t>
            </w:r>
            <w:r>
              <w:rPr>
                <w:lang w:val="uk-UA" w:eastAsia="uk-UA"/>
              </w:rPr>
              <w:t>.</w:t>
            </w:r>
            <w:r w:rsidR="00B82847">
              <w:rPr>
                <w:lang w:val="uk-UA" w:eastAsia="uk-UA"/>
              </w:rPr>
              <w:t>12</w:t>
            </w:r>
            <w:r>
              <w:rPr>
                <w:lang w:val="uk-UA" w:eastAsia="uk-UA"/>
              </w:rPr>
              <w:t>.2020 року,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 xml:space="preserve">зазначено </w:t>
            </w:r>
            <w:r w:rsidR="009B652A">
              <w:rPr>
                <w:lang w:val="uk-UA" w:eastAsia="uk-UA"/>
              </w:rPr>
              <w:t>ПАТ «АК «Київводоканал» (</w:t>
            </w:r>
            <w:r w:rsidRPr="003B4830">
              <w:rPr>
                <w:lang w:val="uk-UA" w:eastAsia="uk-UA"/>
              </w:rPr>
              <w:t xml:space="preserve">пункт </w:t>
            </w:r>
            <w:r w:rsidR="003B4830" w:rsidRPr="003B4830">
              <w:rPr>
                <w:lang w:val="uk-UA" w:eastAsia="uk-UA"/>
              </w:rPr>
              <w:t>28</w:t>
            </w:r>
            <w:r w:rsidR="009B652A" w:rsidRPr="003B4830">
              <w:rPr>
                <w:lang w:val="uk-UA" w:eastAsia="uk-UA"/>
              </w:rPr>
              <w:t xml:space="preserve"> </w:t>
            </w:r>
            <w:r w:rsidRPr="003B4830">
              <w:rPr>
                <w:lang w:val="uk-UA" w:eastAsia="uk-UA"/>
              </w:rPr>
              <w:t>зведеного</w:t>
            </w:r>
            <w:r w:rsidR="009B652A" w:rsidRPr="003B4830">
              <w:rPr>
                <w:lang w:val="uk-UA" w:eastAsia="uk-UA"/>
              </w:rPr>
              <w:t xml:space="preserve"> </w:t>
            </w:r>
            <w:r w:rsidRPr="003B4830">
              <w:rPr>
                <w:lang w:val="uk-UA" w:eastAsia="uk-UA"/>
              </w:rPr>
              <w:t>переліку</w:t>
            </w:r>
            <w:r w:rsidR="009B652A" w:rsidRPr="003B4830">
              <w:rPr>
                <w:lang w:val="uk-UA" w:eastAsia="uk-UA"/>
              </w:rPr>
              <w:t xml:space="preserve"> </w:t>
            </w:r>
            <w:r w:rsidRPr="003B4830">
              <w:rPr>
                <w:lang w:val="uk-UA" w:eastAsia="uk-UA"/>
              </w:rPr>
              <w:t xml:space="preserve">сторінка </w:t>
            </w:r>
            <w:r w:rsidR="003B4830">
              <w:rPr>
                <w:lang w:val="uk-UA" w:eastAsia="uk-UA"/>
              </w:rPr>
              <w:t>17</w:t>
            </w:r>
            <w:r w:rsidRPr="004B0C48">
              <w:rPr>
                <w:lang w:val="uk-UA" w:eastAsia="uk-UA"/>
              </w:rPr>
              <w:t>). На підставі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 xml:space="preserve">вищезазначеного </w:t>
            </w:r>
            <w:r w:rsidR="009B652A">
              <w:rPr>
                <w:lang w:val="uk-UA" w:eastAsia="uk-UA"/>
              </w:rPr>
              <w:t>П</w:t>
            </w:r>
            <w:r w:rsidR="00B82847">
              <w:rPr>
                <w:lang w:val="uk-UA" w:eastAsia="uk-UA"/>
              </w:rPr>
              <w:t>р</w:t>
            </w:r>
            <w:r w:rsidR="009B652A">
              <w:rPr>
                <w:lang w:val="uk-UA" w:eastAsia="uk-UA"/>
              </w:rPr>
              <w:t xml:space="preserve">АТ «АК «Київводоканал» </w:t>
            </w:r>
            <w:r w:rsidRPr="004B0C48">
              <w:rPr>
                <w:lang w:val="uk-UA" w:eastAsia="uk-UA"/>
              </w:rPr>
              <w:t>займає</w:t>
            </w:r>
            <w:r w:rsidR="009B652A">
              <w:rPr>
                <w:lang w:val="uk-UA" w:eastAsia="uk-UA"/>
              </w:rPr>
              <w:t xml:space="preserve"> </w:t>
            </w:r>
            <w:r w:rsidRPr="004B0C48">
              <w:rPr>
                <w:lang w:val="uk-UA" w:eastAsia="uk-UA"/>
              </w:rPr>
              <w:t xml:space="preserve">монопольне становище на ринку </w:t>
            </w:r>
            <w:r w:rsidR="009B652A">
              <w:rPr>
                <w:lang w:val="uk-UA" w:eastAsia="uk-UA"/>
              </w:rPr>
              <w:t>центрального водопостачання та водовідведення.</w:t>
            </w:r>
            <w:r w:rsidR="009B652A">
              <w:rPr>
                <w:rFonts w:ascii="Arial" w:hAnsi="Arial" w:cs="Arial"/>
                <w:color w:val="454545"/>
                <w:sz w:val="21"/>
                <w:szCs w:val="21"/>
                <w:lang w:eastAsia="uk-UA"/>
              </w:rPr>
              <w:t xml:space="preserve"> </w:t>
            </w:r>
            <w:r w:rsidR="009B652A" w:rsidRPr="009B652A">
              <w:rPr>
                <w:color w:val="000000" w:themeColor="text1"/>
                <w:lang w:eastAsia="uk-UA"/>
              </w:rPr>
              <w:t>Адміністративні будівлі Державної митної служби</w:t>
            </w:r>
            <w:r w:rsidR="00DA435F">
              <w:rPr>
                <w:color w:val="000000" w:themeColor="text1"/>
                <w:lang w:val="uk-UA" w:eastAsia="uk-UA"/>
              </w:rPr>
              <w:t xml:space="preserve"> України</w:t>
            </w:r>
            <w:r w:rsidR="009B652A" w:rsidRPr="009B652A">
              <w:rPr>
                <w:color w:val="000000" w:themeColor="text1"/>
                <w:lang w:eastAsia="uk-UA"/>
              </w:rPr>
              <w:t xml:space="preserve"> зареєстровані за адресами: м. Київ, вул.Дегтярівська,11г</w:t>
            </w:r>
            <w:r w:rsidR="00DA435F">
              <w:rPr>
                <w:color w:val="000000" w:themeColor="text1"/>
                <w:lang w:val="uk-UA" w:eastAsia="uk-UA"/>
              </w:rPr>
              <w:t>, Дегтярівська,11а</w:t>
            </w:r>
            <w:r w:rsidR="009B652A" w:rsidRPr="009B652A">
              <w:rPr>
                <w:color w:val="000000" w:themeColor="text1"/>
                <w:lang w:eastAsia="uk-UA"/>
              </w:rPr>
              <w:t xml:space="preserve"> та вул.Саксаганського,66) що фізично приєднанні до мереж П</w:t>
            </w:r>
            <w:r w:rsidR="00B82847">
              <w:rPr>
                <w:color w:val="000000" w:themeColor="text1"/>
                <w:lang w:val="uk-UA" w:eastAsia="uk-UA"/>
              </w:rPr>
              <w:t>р</w:t>
            </w:r>
            <w:r w:rsidR="009B652A" w:rsidRPr="009B652A">
              <w:rPr>
                <w:color w:val="000000" w:themeColor="text1"/>
                <w:lang w:eastAsia="uk-UA"/>
              </w:rPr>
              <w:t>АТ «АК «Київводоканал</w:t>
            </w:r>
            <w:r w:rsidR="009B652A">
              <w:rPr>
                <w:color w:val="000000" w:themeColor="text1"/>
                <w:lang w:val="uk-UA" w:eastAsia="uk-UA"/>
              </w:rPr>
              <w:t>»</w:t>
            </w:r>
            <w:r w:rsidR="009B652A" w:rsidRPr="009B652A">
              <w:rPr>
                <w:color w:val="000000" w:themeColor="text1"/>
                <w:lang w:eastAsia="uk-UA"/>
              </w:rPr>
              <w:t>, що фактично  забезпечують роботу Держмитслужби.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  <w:r w:rsidRPr="009B652A">
              <w:rPr>
                <w:color w:val="454545"/>
                <w:lang w:eastAsia="uk-UA"/>
              </w:rPr>
              <w:t>Відповідно до частини першої статті 40 Закону України «Про публічні закупівлі»: «Переговорна процедура закупівлі - це процедура, що використовується замовником як виняток і відповідно до якої замовник укладає договір про закупівлю з учасником після проведення переговорів щодо ціни та інших умов договору про закупівлю з одним або кількома учасниками».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  <w:r w:rsidRPr="009B652A">
              <w:rPr>
                <w:color w:val="454545"/>
                <w:lang w:eastAsia="uk-UA"/>
              </w:rPr>
              <w:t>Документи, що підтверджують наявність умов застосування процедури закупівлі :</w:t>
            </w:r>
            <w:r w:rsidRPr="009B652A">
              <w:rPr>
                <w:color w:val="454545"/>
                <w:lang w:eastAsia="uk-UA"/>
              </w:rPr>
              <w:br/>
              <w:t>1) Закон України “Про питну воду, питне водопостачання та водовідведення” від 10 січня 2002 року N 2918-III (із змінами),</w:t>
            </w:r>
            <w:r w:rsidRPr="009B652A">
              <w:rPr>
                <w:color w:val="454545"/>
                <w:lang w:eastAsia="uk-UA"/>
              </w:rPr>
              <w:br/>
              <w:t>2) Наказ Міністерства з питань житлово-комунального господарства України від 27.06.2008 N 190 “Про затвердження Правил користування системами централізованого комунального водопостачання суб’єктів природних монополій у сферах теплопостачання, централізованого водопостачання та водовідведення, захоронення побутових відходів, що формується національною комісією, що здійснює державне регулювання у сфері енергетики та комунальних послуг, та в період проведення закупівлі, опублікований на офіційному веб-сайті НКРЕКП.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  <w:r w:rsidRPr="009B652A">
              <w:rPr>
                <w:color w:val="454545"/>
                <w:lang w:eastAsia="uk-UA"/>
              </w:rPr>
              <w:br/>
              <w:t>Таким чином, наявна законодавча підстава проведення переговорної процедури закупівлі послуг водопостачання відповідно до п.2 ч.2 ст.40 Закону України "Про публічні закупівлі", а саме: «відсутності конкуренції з технічних причин на відповідному ринку, внаслідок чого договір про закупівлю може бути укладено лише з одним постачальником, за відсутності при цьому альтернативи».</w:t>
            </w:r>
          </w:p>
          <w:p w:rsidR="009B652A" w:rsidRPr="009B652A" w:rsidRDefault="009B652A" w:rsidP="009B652A">
            <w:pPr>
              <w:rPr>
                <w:color w:val="454545"/>
                <w:lang w:eastAsia="uk-UA"/>
              </w:rPr>
            </w:pPr>
          </w:p>
          <w:p w:rsidR="009B652A" w:rsidRPr="009B652A" w:rsidRDefault="009B652A" w:rsidP="009B652A">
            <w:pPr>
              <w:rPr>
                <w:color w:val="000000" w:themeColor="text1"/>
                <w:lang w:eastAsia="uk-UA"/>
              </w:rPr>
            </w:pPr>
          </w:p>
          <w:p w:rsidR="00DF5049" w:rsidRPr="0038498F" w:rsidRDefault="0038498F" w:rsidP="009B652A">
            <w:pPr>
              <w:tabs>
                <w:tab w:val="left" w:pos="851"/>
                <w:tab w:val="left" w:pos="993"/>
              </w:tabs>
              <w:ind w:right="-141"/>
              <w:contextualSpacing/>
              <w:rPr>
                <w:bCs/>
                <w:lang w:val="uk-UA"/>
              </w:rPr>
            </w:pPr>
            <w:r w:rsidRPr="004B0C48">
              <w:rPr>
                <w:lang w:val="uk-UA" w:eastAsia="uk-UA"/>
              </w:rPr>
              <w:t xml:space="preserve"> </w:t>
            </w:r>
          </w:p>
        </w:tc>
      </w:tr>
    </w:tbl>
    <w:p w:rsidR="00FB054C" w:rsidRDefault="00FB054C" w:rsidP="00E22D96">
      <w:pPr>
        <w:spacing w:after="120"/>
        <w:jc w:val="center"/>
        <w:rPr>
          <w:b/>
          <w:bCs/>
          <w:lang w:val="uk-UA"/>
        </w:rPr>
      </w:pPr>
    </w:p>
    <w:p w:rsidR="00FB054C" w:rsidRPr="005536F3" w:rsidRDefault="00FB054C" w:rsidP="00E22D96">
      <w:pPr>
        <w:tabs>
          <w:tab w:val="left" w:pos="0"/>
          <w:tab w:val="left" w:pos="8244"/>
          <w:tab w:val="left" w:pos="9160"/>
          <w:tab w:val="left" w:pos="991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B054C" w:rsidRPr="002E1ABA" w:rsidRDefault="00FB054C" w:rsidP="002E1ABA">
      <w:pPr>
        <w:rPr>
          <w:lang w:val="uk-UA"/>
        </w:rPr>
      </w:pPr>
      <w:bookmarkStart w:id="0" w:name="_GoBack"/>
      <w:bookmarkEnd w:id="0"/>
    </w:p>
    <w:sectPr w:rsidR="00FB054C" w:rsidRPr="002E1ABA" w:rsidSect="009B652A">
      <w:headerReference w:type="default" r:id="rId7"/>
      <w:pgSz w:w="11906" w:h="16838" w:code="9"/>
      <w:pgMar w:top="851" w:right="567" w:bottom="56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6E" w:rsidRDefault="00D2696E" w:rsidP="00E22D96">
      <w:r>
        <w:separator/>
      </w:r>
    </w:p>
  </w:endnote>
  <w:endnote w:type="continuationSeparator" w:id="0">
    <w:p w:rsidR="00D2696E" w:rsidRDefault="00D2696E" w:rsidP="00E2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6E" w:rsidRDefault="00D2696E" w:rsidP="00E22D96">
      <w:r>
        <w:separator/>
      </w:r>
    </w:p>
  </w:footnote>
  <w:footnote w:type="continuationSeparator" w:id="0">
    <w:p w:rsidR="00D2696E" w:rsidRDefault="00D2696E" w:rsidP="00E2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4C" w:rsidRDefault="004B56CB" w:rsidP="00E22D96">
    <w:pPr>
      <w:jc w:val="center"/>
    </w:pPr>
    <w:r>
      <w:fldChar w:fldCharType="begin"/>
    </w:r>
    <w:r w:rsidR="006339E6">
      <w:instrText>PAGE   \* MERGEFORMAT</w:instrText>
    </w:r>
    <w:r>
      <w:fldChar w:fldCharType="separate"/>
    </w:r>
    <w:r w:rsidR="00E35C12" w:rsidRPr="00E35C12">
      <w:rPr>
        <w:noProof/>
        <w:lang w:val="uk-UA"/>
      </w:rPr>
      <w:t>2</w:t>
    </w:r>
    <w:r>
      <w:rPr>
        <w:noProof/>
        <w:lang w:val="uk-U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461"/>
    <w:multiLevelType w:val="hybridMultilevel"/>
    <w:tmpl w:val="96F23840"/>
    <w:lvl w:ilvl="0" w:tplc="3A86ABAE"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eastAsia="Times New Roman" w:hAnsi="Times New Roman" w:hint="default"/>
      </w:rPr>
    </w:lvl>
    <w:lvl w:ilvl="1" w:tplc="823EEBB2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1C2AF6"/>
    <w:multiLevelType w:val="hybridMultilevel"/>
    <w:tmpl w:val="0BF29BFA"/>
    <w:lvl w:ilvl="0" w:tplc="60DC6556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67F2B"/>
    <w:multiLevelType w:val="multilevel"/>
    <w:tmpl w:val="34ECBD06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firstLine="709"/>
      </w:pPr>
      <w:rPr>
        <w:rFonts w:cs="Times New Roman" w:hint="default"/>
      </w:rPr>
    </w:lvl>
  </w:abstractNum>
  <w:abstractNum w:abstractNumId="3" w15:restartNumberingAfterBreak="0">
    <w:nsid w:val="23860152"/>
    <w:multiLevelType w:val="hybridMultilevel"/>
    <w:tmpl w:val="1130BDA4"/>
    <w:lvl w:ilvl="0" w:tplc="A7C0038A"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344600"/>
    <w:multiLevelType w:val="hybridMultilevel"/>
    <w:tmpl w:val="72083856"/>
    <w:lvl w:ilvl="0" w:tplc="C42EBF34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ED02A3"/>
    <w:multiLevelType w:val="hybridMultilevel"/>
    <w:tmpl w:val="A5F429EC"/>
    <w:lvl w:ilvl="0" w:tplc="48BE05A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AC00E7"/>
    <w:multiLevelType w:val="hybridMultilevel"/>
    <w:tmpl w:val="A57640E0"/>
    <w:lvl w:ilvl="0" w:tplc="26B8DB3A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543A91"/>
    <w:multiLevelType w:val="hybridMultilevel"/>
    <w:tmpl w:val="3EB2816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FA5C9F"/>
    <w:multiLevelType w:val="hybridMultilevel"/>
    <w:tmpl w:val="DFFC8786"/>
    <w:lvl w:ilvl="0" w:tplc="2D1E3F68"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D8F6138"/>
    <w:multiLevelType w:val="hybridMultilevel"/>
    <w:tmpl w:val="3FE814F0"/>
    <w:lvl w:ilvl="0" w:tplc="C30EAA30">
      <w:numFmt w:val="bullet"/>
      <w:pStyle w:val="-"/>
      <w:lvlText w:val="–"/>
      <w:lvlJc w:val="left"/>
      <w:pPr>
        <w:tabs>
          <w:tab w:val="num" w:pos="709"/>
        </w:tabs>
        <w:ind w:firstLine="425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2" w:tplc="35BE37FC">
      <w:start w:val="1"/>
      <w:numFmt w:val="bullet"/>
      <w:lvlText w:val="o"/>
      <w:lvlJc w:val="left"/>
      <w:pPr>
        <w:tabs>
          <w:tab w:val="num" w:pos="992"/>
        </w:tabs>
        <w:ind w:firstLine="709"/>
      </w:pPr>
      <w:rPr>
        <w:rFonts w:ascii="Courier New" w:hAnsi="Courier New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59E0C51"/>
    <w:multiLevelType w:val="hybridMultilevel"/>
    <w:tmpl w:val="207A5EA4"/>
    <w:lvl w:ilvl="0" w:tplc="965CE07C">
      <w:start w:val="1"/>
      <w:numFmt w:val="bullet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A131C7"/>
    <w:multiLevelType w:val="hybridMultilevel"/>
    <w:tmpl w:val="BBD4266E"/>
    <w:lvl w:ilvl="0" w:tplc="E660AB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8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4"/>
  </w:num>
  <w:num w:numId="19">
    <w:abstractNumId w:val="1"/>
  </w:num>
  <w:num w:numId="20">
    <w:abstractNumId w:val="10"/>
  </w:num>
  <w:num w:numId="21">
    <w:abstractNumId w:val="5"/>
  </w:num>
  <w:num w:numId="22">
    <w:abstractNumId w:val="5"/>
  </w:num>
  <w:num w:numId="23">
    <w:abstractNumId w:val="8"/>
  </w:num>
  <w:num w:numId="24">
    <w:abstractNumId w:val="10"/>
  </w:num>
  <w:num w:numId="25">
    <w:abstractNumId w:val="5"/>
  </w:num>
  <w:num w:numId="26">
    <w:abstractNumId w:val="8"/>
  </w:num>
  <w:num w:numId="27">
    <w:abstractNumId w:val="10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9"/>
  </w:num>
  <w:num w:numId="39">
    <w:abstractNumId w:val="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37C5"/>
    <w:rsid w:val="00001B12"/>
    <w:rsid w:val="00010E07"/>
    <w:rsid w:val="00025DCD"/>
    <w:rsid w:val="00047232"/>
    <w:rsid w:val="000501CC"/>
    <w:rsid w:val="00051367"/>
    <w:rsid w:val="00052C69"/>
    <w:rsid w:val="00063448"/>
    <w:rsid w:val="00067B38"/>
    <w:rsid w:val="00081CC6"/>
    <w:rsid w:val="000953D4"/>
    <w:rsid w:val="000B1E28"/>
    <w:rsid w:val="000B3FBC"/>
    <w:rsid w:val="000B6324"/>
    <w:rsid w:val="000C2EFD"/>
    <w:rsid w:val="000C6CD9"/>
    <w:rsid w:val="000D178A"/>
    <w:rsid w:val="000D55F8"/>
    <w:rsid w:val="000F065D"/>
    <w:rsid w:val="000F3414"/>
    <w:rsid w:val="001204E9"/>
    <w:rsid w:val="001220F4"/>
    <w:rsid w:val="00143B75"/>
    <w:rsid w:val="0017356B"/>
    <w:rsid w:val="00181389"/>
    <w:rsid w:val="001A2928"/>
    <w:rsid w:val="001B0BE6"/>
    <w:rsid w:val="001B4AC5"/>
    <w:rsid w:val="001D0D0A"/>
    <w:rsid w:val="001D79C8"/>
    <w:rsid w:val="001E2057"/>
    <w:rsid w:val="001F2603"/>
    <w:rsid w:val="00201A06"/>
    <w:rsid w:val="00202301"/>
    <w:rsid w:val="002074C1"/>
    <w:rsid w:val="00220310"/>
    <w:rsid w:val="002237C5"/>
    <w:rsid w:val="0023075D"/>
    <w:rsid w:val="0024788B"/>
    <w:rsid w:val="0026329F"/>
    <w:rsid w:val="0026653A"/>
    <w:rsid w:val="00282F3B"/>
    <w:rsid w:val="002A037D"/>
    <w:rsid w:val="002A2A73"/>
    <w:rsid w:val="002A393A"/>
    <w:rsid w:val="002B67D1"/>
    <w:rsid w:val="002D3B4E"/>
    <w:rsid w:val="002D7B41"/>
    <w:rsid w:val="002E1ABA"/>
    <w:rsid w:val="002F2737"/>
    <w:rsid w:val="002F3890"/>
    <w:rsid w:val="00313BCC"/>
    <w:rsid w:val="00325F96"/>
    <w:rsid w:val="00327893"/>
    <w:rsid w:val="0033162C"/>
    <w:rsid w:val="00345965"/>
    <w:rsid w:val="00350503"/>
    <w:rsid w:val="00355889"/>
    <w:rsid w:val="003565FB"/>
    <w:rsid w:val="003610BD"/>
    <w:rsid w:val="00372E31"/>
    <w:rsid w:val="0038498F"/>
    <w:rsid w:val="00393D2A"/>
    <w:rsid w:val="003A6F3B"/>
    <w:rsid w:val="003B052D"/>
    <w:rsid w:val="003B4830"/>
    <w:rsid w:val="003B7E63"/>
    <w:rsid w:val="003C64AA"/>
    <w:rsid w:val="003D3C9F"/>
    <w:rsid w:val="003D4706"/>
    <w:rsid w:val="00411204"/>
    <w:rsid w:val="00411F3B"/>
    <w:rsid w:val="00415E94"/>
    <w:rsid w:val="004314C2"/>
    <w:rsid w:val="004359B2"/>
    <w:rsid w:val="00467151"/>
    <w:rsid w:val="00494837"/>
    <w:rsid w:val="004A1BC4"/>
    <w:rsid w:val="004B0C48"/>
    <w:rsid w:val="004B56CB"/>
    <w:rsid w:val="004D4A1F"/>
    <w:rsid w:val="004F67A1"/>
    <w:rsid w:val="0050478A"/>
    <w:rsid w:val="00506B7E"/>
    <w:rsid w:val="00511689"/>
    <w:rsid w:val="00512591"/>
    <w:rsid w:val="00535AE9"/>
    <w:rsid w:val="005473EA"/>
    <w:rsid w:val="005536F3"/>
    <w:rsid w:val="00553CA1"/>
    <w:rsid w:val="00563932"/>
    <w:rsid w:val="00566DC9"/>
    <w:rsid w:val="0058455A"/>
    <w:rsid w:val="00590026"/>
    <w:rsid w:val="00594F93"/>
    <w:rsid w:val="00597893"/>
    <w:rsid w:val="005C5B43"/>
    <w:rsid w:val="006040A5"/>
    <w:rsid w:val="006066DA"/>
    <w:rsid w:val="00613618"/>
    <w:rsid w:val="006339E6"/>
    <w:rsid w:val="00637AF9"/>
    <w:rsid w:val="00641229"/>
    <w:rsid w:val="0065084C"/>
    <w:rsid w:val="00650984"/>
    <w:rsid w:val="006529E9"/>
    <w:rsid w:val="006774BD"/>
    <w:rsid w:val="00696B57"/>
    <w:rsid w:val="006A2E78"/>
    <w:rsid w:val="006F2BBB"/>
    <w:rsid w:val="006F5EDC"/>
    <w:rsid w:val="007036D2"/>
    <w:rsid w:val="007464A2"/>
    <w:rsid w:val="00747098"/>
    <w:rsid w:val="007674FD"/>
    <w:rsid w:val="00777B1E"/>
    <w:rsid w:val="00780BA0"/>
    <w:rsid w:val="007912DA"/>
    <w:rsid w:val="007A331E"/>
    <w:rsid w:val="007B5DF3"/>
    <w:rsid w:val="007C71CC"/>
    <w:rsid w:val="007D18CB"/>
    <w:rsid w:val="007F678E"/>
    <w:rsid w:val="008150A0"/>
    <w:rsid w:val="00834E8E"/>
    <w:rsid w:val="00841956"/>
    <w:rsid w:val="00875A5F"/>
    <w:rsid w:val="00882BDD"/>
    <w:rsid w:val="00897C59"/>
    <w:rsid w:val="008A130C"/>
    <w:rsid w:val="008A628F"/>
    <w:rsid w:val="008B548A"/>
    <w:rsid w:val="008C5730"/>
    <w:rsid w:val="008C71A7"/>
    <w:rsid w:val="008D28DC"/>
    <w:rsid w:val="008F2253"/>
    <w:rsid w:val="008F6BD3"/>
    <w:rsid w:val="00902FD6"/>
    <w:rsid w:val="00916070"/>
    <w:rsid w:val="009205AF"/>
    <w:rsid w:val="00920E31"/>
    <w:rsid w:val="00947BAC"/>
    <w:rsid w:val="009624B8"/>
    <w:rsid w:val="00996430"/>
    <w:rsid w:val="00996E68"/>
    <w:rsid w:val="009A10BE"/>
    <w:rsid w:val="009A40D5"/>
    <w:rsid w:val="009B558E"/>
    <w:rsid w:val="009B652A"/>
    <w:rsid w:val="009C0181"/>
    <w:rsid w:val="009C5C47"/>
    <w:rsid w:val="009D359D"/>
    <w:rsid w:val="009E2C83"/>
    <w:rsid w:val="009E7B29"/>
    <w:rsid w:val="009F0326"/>
    <w:rsid w:val="00A04CA8"/>
    <w:rsid w:val="00A14E68"/>
    <w:rsid w:val="00A21F05"/>
    <w:rsid w:val="00A3431F"/>
    <w:rsid w:val="00A3597F"/>
    <w:rsid w:val="00A40E83"/>
    <w:rsid w:val="00A44D17"/>
    <w:rsid w:val="00A504B2"/>
    <w:rsid w:val="00A610B1"/>
    <w:rsid w:val="00A6570F"/>
    <w:rsid w:val="00A77145"/>
    <w:rsid w:val="00A80EA8"/>
    <w:rsid w:val="00A861C6"/>
    <w:rsid w:val="00A90C2A"/>
    <w:rsid w:val="00AC2AD0"/>
    <w:rsid w:val="00AD0482"/>
    <w:rsid w:val="00AE009F"/>
    <w:rsid w:val="00B02311"/>
    <w:rsid w:val="00B33557"/>
    <w:rsid w:val="00B522A1"/>
    <w:rsid w:val="00B544CE"/>
    <w:rsid w:val="00B610DD"/>
    <w:rsid w:val="00B8007C"/>
    <w:rsid w:val="00B80D19"/>
    <w:rsid w:val="00B82847"/>
    <w:rsid w:val="00B83F41"/>
    <w:rsid w:val="00B90B04"/>
    <w:rsid w:val="00B935A9"/>
    <w:rsid w:val="00B96023"/>
    <w:rsid w:val="00BA13B1"/>
    <w:rsid w:val="00BA6C13"/>
    <w:rsid w:val="00BF3B02"/>
    <w:rsid w:val="00BF3E27"/>
    <w:rsid w:val="00C14C5B"/>
    <w:rsid w:val="00C1791B"/>
    <w:rsid w:val="00C217FA"/>
    <w:rsid w:val="00C36534"/>
    <w:rsid w:val="00C37037"/>
    <w:rsid w:val="00C40E9C"/>
    <w:rsid w:val="00C54CFF"/>
    <w:rsid w:val="00C672A7"/>
    <w:rsid w:val="00CA28FE"/>
    <w:rsid w:val="00CC522A"/>
    <w:rsid w:val="00CD2F90"/>
    <w:rsid w:val="00CD7F8B"/>
    <w:rsid w:val="00CE1BBC"/>
    <w:rsid w:val="00CE25AF"/>
    <w:rsid w:val="00CF056F"/>
    <w:rsid w:val="00CF2B50"/>
    <w:rsid w:val="00CF3E6C"/>
    <w:rsid w:val="00D04972"/>
    <w:rsid w:val="00D0683E"/>
    <w:rsid w:val="00D2696E"/>
    <w:rsid w:val="00D26D1B"/>
    <w:rsid w:val="00D31CBE"/>
    <w:rsid w:val="00D33D42"/>
    <w:rsid w:val="00D42F97"/>
    <w:rsid w:val="00D53F3C"/>
    <w:rsid w:val="00D55448"/>
    <w:rsid w:val="00D5555F"/>
    <w:rsid w:val="00D64974"/>
    <w:rsid w:val="00D66A67"/>
    <w:rsid w:val="00D72206"/>
    <w:rsid w:val="00D74588"/>
    <w:rsid w:val="00D769FB"/>
    <w:rsid w:val="00D91CF8"/>
    <w:rsid w:val="00D9243C"/>
    <w:rsid w:val="00DA3C3B"/>
    <w:rsid w:val="00DA435F"/>
    <w:rsid w:val="00DB4E18"/>
    <w:rsid w:val="00DB5E3C"/>
    <w:rsid w:val="00DC682C"/>
    <w:rsid w:val="00DD0028"/>
    <w:rsid w:val="00DD09FA"/>
    <w:rsid w:val="00DE74CC"/>
    <w:rsid w:val="00DF5049"/>
    <w:rsid w:val="00E03CC3"/>
    <w:rsid w:val="00E16073"/>
    <w:rsid w:val="00E22D96"/>
    <w:rsid w:val="00E256D6"/>
    <w:rsid w:val="00E35C12"/>
    <w:rsid w:val="00E35D88"/>
    <w:rsid w:val="00E3631D"/>
    <w:rsid w:val="00E433B7"/>
    <w:rsid w:val="00E459C2"/>
    <w:rsid w:val="00E64F60"/>
    <w:rsid w:val="00E6710A"/>
    <w:rsid w:val="00E708A4"/>
    <w:rsid w:val="00E81D94"/>
    <w:rsid w:val="00E85DC4"/>
    <w:rsid w:val="00E877E8"/>
    <w:rsid w:val="00E90CFD"/>
    <w:rsid w:val="00EA605A"/>
    <w:rsid w:val="00F11842"/>
    <w:rsid w:val="00F136AD"/>
    <w:rsid w:val="00F354FF"/>
    <w:rsid w:val="00F46B5F"/>
    <w:rsid w:val="00F536D7"/>
    <w:rsid w:val="00F61099"/>
    <w:rsid w:val="00F72CE5"/>
    <w:rsid w:val="00FB054C"/>
    <w:rsid w:val="00FB7459"/>
    <w:rsid w:val="00FC5A4E"/>
    <w:rsid w:val="00FE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6F7245-A4C9-495F-8835-DB9AF177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28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Маркер-тире"/>
    <w:basedOn w:val="a"/>
    <w:uiPriority w:val="99"/>
    <w:rsid w:val="00C37037"/>
    <w:pPr>
      <w:numPr>
        <w:numId w:val="37"/>
      </w:numPr>
      <w:spacing w:after="120"/>
      <w:ind w:left="851" w:hanging="284"/>
    </w:pPr>
    <w:rPr>
      <w:lang w:val="uk-UA"/>
    </w:rPr>
  </w:style>
  <w:style w:type="paragraph" w:customStyle="1" w:styleId="a3">
    <w:name w:val="_ТЕКСТ основний"/>
    <w:basedOn w:val="a"/>
    <w:uiPriority w:val="99"/>
    <w:rsid w:val="00613618"/>
    <w:pPr>
      <w:spacing w:after="120"/>
      <w:ind w:firstLine="709"/>
    </w:pPr>
    <w:rPr>
      <w:lang w:val="uk-UA" w:eastAsia="en-US"/>
    </w:rPr>
  </w:style>
  <w:style w:type="paragraph" w:customStyle="1" w:styleId="5">
    <w:name w:val="Знак Знак5 Знак Знак Знак Знак Знак Знак"/>
    <w:basedOn w:val="a"/>
    <w:uiPriority w:val="99"/>
    <w:rsid w:val="00D55448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3431F"/>
    <w:rPr>
      <w:rFonts w:cs="Times New Roman"/>
      <w:color w:val="0000FF"/>
      <w:u w:val="single"/>
    </w:rPr>
  </w:style>
  <w:style w:type="character" w:styleId="a5">
    <w:name w:val="Intense Emphasis"/>
    <w:basedOn w:val="a0"/>
    <w:uiPriority w:val="99"/>
    <w:qFormat/>
    <w:rsid w:val="00B610DD"/>
    <w:rPr>
      <w:rFonts w:cs="Times New Roman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locked/>
    <w:rsid w:val="002A39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39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0953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Обгрунтування застосування ППЗ ПРЕДМЕТ</vt:lpstr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 застосування ППЗ ПРЕДМЕТ</dc:title>
  <dc:subject/>
  <dc:creator>user</dc:creator>
  <cp:keywords/>
  <dc:description/>
  <cp:lastModifiedBy>HP Inc.</cp:lastModifiedBy>
  <cp:revision>54</cp:revision>
  <cp:lastPrinted>2021-02-03T09:55:00Z</cp:lastPrinted>
  <dcterms:created xsi:type="dcterms:W3CDTF">2019-12-01T17:46:00Z</dcterms:created>
  <dcterms:modified xsi:type="dcterms:W3CDTF">2021-02-05T11:05:00Z</dcterms:modified>
</cp:coreProperties>
</file>