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BCE" w:rsidRPr="00E20372" w:rsidRDefault="00D81EFA" w:rsidP="006E2C7A">
      <w:pPr>
        <w:spacing w:line="240" w:lineRule="auto"/>
        <w:contextualSpacing/>
        <w:jc w:val="center"/>
        <w:rPr>
          <w:rFonts w:ascii="Times New Roman" w:hAnsi="Times New Roman" w:cs="Times New Roman"/>
          <w:b/>
          <w:sz w:val="28"/>
          <w:szCs w:val="28"/>
        </w:rPr>
      </w:pPr>
      <w:r w:rsidRPr="00E20372">
        <w:rPr>
          <w:rFonts w:ascii="Times New Roman" w:hAnsi="Times New Roman" w:cs="Times New Roman"/>
          <w:b/>
          <w:sz w:val="28"/>
          <w:szCs w:val="28"/>
        </w:rPr>
        <w:t>Інформація</w:t>
      </w:r>
      <w:r w:rsidR="00E72BCE" w:rsidRPr="00E20372">
        <w:rPr>
          <w:rFonts w:ascii="Times New Roman" w:hAnsi="Times New Roman" w:cs="Times New Roman"/>
          <w:b/>
          <w:sz w:val="28"/>
          <w:szCs w:val="28"/>
        </w:rPr>
        <w:t xml:space="preserve">, що підлягає оприлюдненню на офіційному сайті Державної митної служби України </w:t>
      </w:r>
      <w:r w:rsidR="00255986" w:rsidRPr="00E20372">
        <w:rPr>
          <w:rFonts w:ascii="Times New Roman" w:hAnsi="Times New Roman" w:cs="Times New Roman"/>
          <w:b/>
          <w:sz w:val="28"/>
          <w:szCs w:val="28"/>
        </w:rPr>
        <w:t xml:space="preserve">у відповідності до вимог, встановлених </w:t>
      </w:r>
      <w:r w:rsidR="00E72BCE" w:rsidRPr="00E20372">
        <w:rPr>
          <w:rFonts w:ascii="Times New Roman" w:hAnsi="Times New Roman" w:cs="Times New Roman"/>
          <w:b/>
          <w:sz w:val="28"/>
          <w:szCs w:val="28"/>
        </w:rPr>
        <w:t>у пункті 4</w:t>
      </w:r>
      <w:r w:rsidR="00E72BCE" w:rsidRPr="00E20372">
        <w:rPr>
          <w:rFonts w:ascii="Times New Roman" w:hAnsi="Times New Roman" w:cs="Times New Roman"/>
          <w:b/>
          <w:sz w:val="28"/>
          <w:szCs w:val="28"/>
          <w:vertAlign w:val="superscript"/>
        </w:rPr>
        <w:t>1</w:t>
      </w:r>
      <w:r w:rsidR="00E72BCE" w:rsidRPr="00E20372">
        <w:rPr>
          <w:rFonts w:ascii="Times New Roman" w:hAnsi="Times New Roman" w:cs="Times New Roman"/>
          <w:b/>
          <w:sz w:val="28"/>
          <w:szCs w:val="28"/>
        </w:rPr>
        <w:t xml:space="preserve"> постанови</w:t>
      </w:r>
      <w:r w:rsidR="00255986" w:rsidRPr="00E20372">
        <w:rPr>
          <w:rFonts w:ascii="Times New Roman" w:hAnsi="Times New Roman" w:cs="Times New Roman"/>
          <w:b/>
          <w:sz w:val="28"/>
          <w:szCs w:val="28"/>
        </w:rPr>
        <w:t xml:space="preserve"> Кабінету Міністрів України </w:t>
      </w:r>
      <w:r w:rsidR="00662B4B" w:rsidRPr="00E20372">
        <w:rPr>
          <w:rFonts w:ascii="Times New Roman" w:hAnsi="Times New Roman" w:cs="Times New Roman"/>
          <w:b/>
          <w:sz w:val="28"/>
          <w:szCs w:val="28"/>
        </w:rPr>
        <w:t xml:space="preserve"> від 11.10.2016 №710 «Про ефективне використання бюджетних коштів»</w:t>
      </w:r>
      <w:r w:rsidR="00E72BCE" w:rsidRPr="00E20372">
        <w:rPr>
          <w:rFonts w:ascii="Times New Roman" w:hAnsi="Times New Roman" w:cs="Times New Roman"/>
          <w:b/>
          <w:sz w:val="28"/>
          <w:szCs w:val="28"/>
        </w:rPr>
        <w:t xml:space="preserve">, щодо проведення Східною митницею Держмитслужби </w:t>
      </w:r>
      <w:r w:rsidR="006E2C7A" w:rsidRPr="00E20372">
        <w:rPr>
          <w:rFonts w:ascii="Times New Roman" w:hAnsi="Times New Roman" w:cs="Times New Roman"/>
          <w:b/>
          <w:sz w:val="28"/>
          <w:szCs w:val="28"/>
        </w:rPr>
        <w:t xml:space="preserve">скороченої </w:t>
      </w:r>
      <w:r w:rsidR="00C174A8" w:rsidRPr="00E20372">
        <w:rPr>
          <w:rFonts w:ascii="Times New Roman" w:hAnsi="Times New Roman" w:cs="Times New Roman"/>
          <w:b/>
          <w:sz w:val="28"/>
          <w:szCs w:val="28"/>
        </w:rPr>
        <w:t xml:space="preserve">переговорної процедури закупівлі </w:t>
      </w:r>
      <w:r w:rsidR="00E72BCE" w:rsidRPr="00E20372">
        <w:rPr>
          <w:rFonts w:ascii="Times New Roman" w:hAnsi="Times New Roman" w:cs="Times New Roman"/>
          <w:b/>
          <w:sz w:val="28"/>
          <w:szCs w:val="28"/>
        </w:rPr>
        <w:t xml:space="preserve">на закупівлю предмету закупівлі: </w:t>
      </w:r>
    </w:p>
    <w:p w:rsidR="006E2C7A" w:rsidRPr="00E20372" w:rsidRDefault="006B2B23" w:rsidP="006E2C7A">
      <w:pPr>
        <w:spacing w:line="240" w:lineRule="auto"/>
        <w:contextualSpacing/>
        <w:jc w:val="center"/>
        <w:rPr>
          <w:rFonts w:ascii="Times New Roman" w:hAnsi="Times New Roman" w:cs="Times New Roman"/>
          <w:b/>
          <w:bCs/>
          <w:sz w:val="28"/>
          <w:szCs w:val="28"/>
          <w:lang w:bidi="uk-UA"/>
        </w:rPr>
      </w:pPr>
      <w:r w:rsidRPr="00E20372">
        <w:rPr>
          <w:rFonts w:ascii="Times New Roman" w:hAnsi="Times New Roman" w:cs="Times New Roman"/>
          <w:b/>
          <w:sz w:val="28"/>
          <w:szCs w:val="28"/>
        </w:rPr>
        <w:t xml:space="preserve">Розподіл електричної енергії  </w:t>
      </w:r>
      <w:r w:rsidR="00E72BCE" w:rsidRPr="00E20372">
        <w:rPr>
          <w:rFonts w:ascii="Times New Roman" w:hAnsi="Times New Roman" w:cs="Times New Roman"/>
          <w:b/>
          <w:sz w:val="28"/>
          <w:szCs w:val="28"/>
        </w:rPr>
        <w:t xml:space="preserve">(ідентифікатор закупівлі – </w:t>
      </w:r>
      <w:r w:rsidR="006E2C7A" w:rsidRPr="00E20372">
        <w:rPr>
          <w:rFonts w:ascii="Times New Roman" w:hAnsi="Times New Roman" w:cs="Times New Roman"/>
          <w:b/>
          <w:bCs/>
          <w:sz w:val="28"/>
          <w:szCs w:val="28"/>
          <w:lang w:val="en-US" w:bidi="uk-UA"/>
        </w:rPr>
        <w:t>UA</w:t>
      </w:r>
      <w:r w:rsidR="006E2C7A" w:rsidRPr="00E20372">
        <w:rPr>
          <w:rFonts w:ascii="Times New Roman" w:hAnsi="Times New Roman" w:cs="Times New Roman"/>
          <w:b/>
          <w:bCs/>
          <w:sz w:val="28"/>
          <w:szCs w:val="28"/>
          <w:lang w:bidi="uk-UA"/>
        </w:rPr>
        <w:t>-2021-02-16-002438-с)</w:t>
      </w:r>
    </w:p>
    <w:p w:rsidR="006E2C7A" w:rsidRPr="00E20372" w:rsidRDefault="006E2C7A" w:rsidP="006E2C7A">
      <w:pPr>
        <w:pStyle w:val="a5"/>
        <w:spacing w:line="240" w:lineRule="auto"/>
        <w:rPr>
          <w:rFonts w:ascii="Times New Roman" w:hAnsi="Times New Roman" w:cs="Times New Roman"/>
          <w:bCs/>
          <w:sz w:val="28"/>
          <w:szCs w:val="28"/>
          <w:lang w:bidi="uk-UA"/>
        </w:rPr>
      </w:pPr>
    </w:p>
    <w:p w:rsidR="006E2C7A" w:rsidRPr="00E20372" w:rsidRDefault="006E2C7A" w:rsidP="006E2C7A">
      <w:pPr>
        <w:pStyle w:val="a5"/>
        <w:numPr>
          <w:ilvl w:val="0"/>
          <w:numId w:val="1"/>
        </w:numPr>
        <w:spacing w:line="240" w:lineRule="auto"/>
        <w:rPr>
          <w:rFonts w:ascii="Times New Roman" w:hAnsi="Times New Roman" w:cs="Times New Roman"/>
          <w:sz w:val="28"/>
          <w:szCs w:val="28"/>
        </w:rPr>
      </w:pPr>
      <w:r w:rsidRPr="00E20372">
        <w:rPr>
          <w:rFonts w:ascii="Times New Roman" w:hAnsi="Times New Roman" w:cs="Times New Roman"/>
          <w:sz w:val="28"/>
          <w:szCs w:val="28"/>
        </w:rPr>
        <w:t xml:space="preserve">Розмір бюджетного призначення  – </w:t>
      </w:r>
      <w:r w:rsidRPr="00E20372">
        <w:rPr>
          <w:rFonts w:ascii="Times New Roman" w:hAnsi="Times New Roman" w:cs="Times New Roman"/>
          <w:b/>
          <w:sz w:val="28"/>
          <w:szCs w:val="28"/>
        </w:rPr>
        <w:t>441518,15 грн.</w:t>
      </w:r>
    </w:p>
    <w:p w:rsidR="006E2C7A" w:rsidRPr="00E20372" w:rsidRDefault="006E2C7A" w:rsidP="006E2C7A">
      <w:pPr>
        <w:pStyle w:val="a5"/>
        <w:numPr>
          <w:ilvl w:val="0"/>
          <w:numId w:val="1"/>
        </w:numPr>
        <w:spacing w:line="240" w:lineRule="auto"/>
        <w:rPr>
          <w:rFonts w:ascii="Times New Roman" w:hAnsi="Times New Roman" w:cs="Times New Roman"/>
          <w:sz w:val="28"/>
          <w:szCs w:val="28"/>
        </w:rPr>
      </w:pPr>
      <w:r w:rsidRPr="00E20372">
        <w:rPr>
          <w:rFonts w:ascii="Times New Roman" w:hAnsi="Times New Roman" w:cs="Times New Roman"/>
          <w:sz w:val="28"/>
          <w:szCs w:val="28"/>
        </w:rPr>
        <w:t xml:space="preserve">Очікувана вартість предмету закупівлі – </w:t>
      </w:r>
      <w:r w:rsidRPr="00E20372">
        <w:rPr>
          <w:rFonts w:ascii="Times New Roman" w:hAnsi="Times New Roman" w:cs="Times New Roman"/>
          <w:b/>
          <w:sz w:val="28"/>
          <w:szCs w:val="28"/>
        </w:rPr>
        <w:t>441518,14 грн.</w:t>
      </w:r>
    </w:p>
    <w:p w:rsidR="00D81EFA" w:rsidRPr="00E20372" w:rsidRDefault="00D81EFA" w:rsidP="006E2C7A">
      <w:pPr>
        <w:pStyle w:val="a5"/>
        <w:numPr>
          <w:ilvl w:val="0"/>
          <w:numId w:val="1"/>
        </w:numPr>
        <w:spacing w:line="240" w:lineRule="auto"/>
        <w:rPr>
          <w:rFonts w:ascii="Times New Roman" w:hAnsi="Times New Roman" w:cs="Times New Roman"/>
          <w:sz w:val="28"/>
          <w:szCs w:val="28"/>
        </w:rPr>
      </w:pPr>
      <w:r w:rsidRPr="00E20372">
        <w:rPr>
          <w:rFonts w:ascii="Times New Roman" w:hAnsi="Times New Roman" w:cs="Times New Roman"/>
          <w:sz w:val="28"/>
          <w:szCs w:val="28"/>
        </w:rPr>
        <w:t>Технічні та якісні характеристики  предмета закупівлі:</w:t>
      </w:r>
    </w:p>
    <w:p w:rsidR="003E3797" w:rsidRPr="00E20372" w:rsidRDefault="00D81EFA" w:rsidP="006E2C7A">
      <w:pPr>
        <w:spacing w:line="240" w:lineRule="auto"/>
        <w:jc w:val="both"/>
        <w:rPr>
          <w:rFonts w:ascii="Times New Roman" w:hAnsi="Times New Roman" w:cs="Times New Roman"/>
          <w:bCs/>
          <w:sz w:val="28"/>
          <w:szCs w:val="28"/>
        </w:rPr>
      </w:pPr>
      <w:r w:rsidRPr="00E20372">
        <w:rPr>
          <w:rFonts w:ascii="Times New Roman" w:hAnsi="Times New Roman" w:cs="Times New Roman"/>
          <w:b/>
          <w:sz w:val="28"/>
          <w:szCs w:val="28"/>
        </w:rPr>
        <w:t>Найменування предмета закупівлі:</w:t>
      </w:r>
      <w:r w:rsidRPr="00E20372">
        <w:rPr>
          <w:rFonts w:ascii="Times New Roman" w:hAnsi="Times New Roman" w:cs="Times New Roman"/>
          <w:sz w:val="28"/>
          <w:szCs w:val="28"/>
        </w:rPr>
        <w:t xml:space="preserve"> </w:t>
      </w:r>
      <w:r w:rsidR="006B2B23" w:rsidRPr="00E20372">
        <w:rPr>
          <w:rFonts w:ascii="Times New Roman" w:hAnsi="Times New Roman" w:cs="Times New Roman"/>
          <w:b/>
          <w:sz w:val="28"/>
          <w:szCs w:val="28"/>
        </w:rPr>
        <w:t>Розподіл електричної енергії</w:t>
      </w:r>
      <w:r w:rsidR="006B2B23" w:rsidRPr="00E20372">
        <w:rPr>
          <w:rFonts w:ascii="Times New Roman" w:hAnsi="Times New Roman" w:cs="Times New Roman"/>
          <w:sz w:val="28"/>
          <w:szCs w:val="28"/>
        </w:rPr>
        <w:t xml:space="preserve">, код за </w:t>
      </w:r>
      <w:proofErr w:type="spellStart"/>
      <w:r w:rsidR="006B2B23" w:rsidRPr="00E20372">
        <w:rPr>
          <w:rFonts w:ascii="Times New Roman" w:hAnsi="Times New Roman" w:cs="Times New Roman"/>
          <w:bCs/>
          <w:sz w:val="28"/>
          <w:szCs w:val="28"/>
        </w:rPr>
        <w:t>ДК</w:t>
      </w:r>
      <w:proofErr w:type="spellEnd"/>
      <w:r w:rsidR="006B2B23" w:rsidRPr="00E20372">
        <w:rPr>
          <w:rFonts w:ascii="Times New Roman" w:hAnsi="Times New Roman" w:cs="Times New Roman"/>
          <w:bCs/>
          <w:sz w:val="28"/>
          <w:szCs w:val="28"/>
        </w:rPr>
        <w:t xml:space="preserve"> 021:2015 - 65310000-9 Розподіл електричної енергії,  (відповідний </w:t>
      </w:r>
      <w:r w:rsidR="006B2B23" w:rsidRPr="00E20372">
        <w:rPr>
          <w:rFonts w:ascii="Times New Roman" w:hAnsi="Times New Roman" w:cs="Times New Roman"/>
          <w:sz w:val="28"/>
          <w:szCs w:val="28"/>
        </w:rPr>
        <w:t xml:space="preserve">код номенклатурної позиції предмету закупівлі за </w:t>
      </w:r>
      <w:proofErr w:type="spellStart"/>
      <w:r w:rsidR="006B2B23" w:rsidRPr="00E20372">
        <w:rPr>
          <w:rFonts w:ascii="Times New Roman" w:hAnsi="Times New Roman" w:cs="Times New Roman"/>
          <w:bCs/>
          <w:sz w:val="28"/>
          <w:szCs w:val="28"/>
        </w:rPr>
        <w:t>ДК</w:t>
      </w:r>
      <w:proofErr w:type="spellEnd"/>
      <w:r w:rsidR="006B2B23" w:rsidRPr="00E20372">
        <w:rPr>
          <w:rFonts w:ascii="Times New Roman" w:hAnsi="Times New Roman" w:cs="Times New Roman"/>
          <w:bCs/>
          <w:sz w:val="28"/>
          <w:szCs w:val="28"/>
        </w:rPr>
        <w:t xml:space="preserve"> 021:2015 - 65310000-</w:t>
      </w:r>
      <w:r w:rsidR="007F07DE" w:rsidRPr="00E20372">
        <w:rPr>
          <w:rFonts w:ascii="Times New Roman" w:hAnsi="Times New Roman" w:cs="Times New Roman"/>
          <w:bCs/>
          <w:sz w:val="28"/>
          <w:szCs w:val="28"/>
        </w:rPr>
        <w:t>9 Розподіл електричної енергії)</w:t>
      </w:r>
    </w:p>
    <w:p w:rsidR="00F73804" w:rsidRPr="00E20372" w:rsidRDefault="00F73804" w:rsidP="006E2C7A">
      <w:pPr>
        <w:pStyle w:val="a5"/>
        <w:tabs>
          <w:tab w:val="left" w:pos="284"/>
        </w:tabs>
        <w:suppressAutoHyphens/>
        <w:spacing w:after="0" w:line="240" w:lineRule="auto"/>
        <w:ind w:left="0"/>
        <w:jc w:val="both"/>
        <w:rPr>
          <w:rFonts w:ascii="Times New Roman" w:hAnsi="Times New Roman" w:cs="Times New Roman"/>
          <w:b/>
          <w:color w:val="00000A"/>
          <w:sz w:val="28"/>
          <w:szCs w:val="28"/>
          <w:lang w:eastAsia="zh-CN" w:bidi="hi-IN"/>
        </w:rPr>
      </w:pPr>
      <w:r w:rsidRPr="00E20372">
        <w:rPr>
          <w:rFonts w:ascii="Times New Roman" w:hAnsi="Times New Roman" w:cs="Times New Roman"/>
          <w:b/>
          <w:sz w:val="28"/>
          <w:szCs w:val="28"/>
        </w:rPr>
        <w:t>Специфікація щодо предмету закупівлі:</w:t>
      </w:r>
    </w:p>
    <w:tbl>
      <w:tblPr>
        <w:tblStyle w:val="a6"/>
        <w:tblW w:w="9747" w:type="dxa"/>
        <w:tblLook w:val="04A0"/>
      </w:tblPr>
      <w:tblGrid>
        <w:gridCol w:w="5778"/>
        <w:gridCol w:w="1560"/>
        <w:gridCol w:w="2409"/>
      </w:tblGrid>
      <w:tr w:rsidR="00F73804" w:rsidRPr="00E20372" w:rsidTr="009E434B">
        <w:tc>
          <w:tcPr>
            <w:tcW w:w="5778" w:type="dxa"/>
            <w:vAlign w:val="center"/>
          </w:tcPr>
          <w:p w:rsidR="00F73804" w:rsidRPr="00E20372" w:rsidRDefault="00DB46CE" w:rsidP="006E2C7A">
            <w:pPr>
              <w:pStyle w:val="a5"/>
              <w:ind w:left="0"/>
              <w:jc w:val="center"/>
              <w:rPr>
                <w:rFonts w:ascii="Times New Roman" w:hAnsi="Times New Roman" w:cs="Times New Roman"/>
                <w:b/>
                <w:sz w:val="28"/>
                <w:szCs w:val="28"/>
                <w:lang w:val="uk-UA"/>
              </w:rPr>
            </w:pPr>
            <w:r w:rsidRPr="00E20372">
              <w:rPr>
                <w:rFonts w:ascii="Times New Roman" w:hAnsi="Times New Roman" w:cs="Times New Roman"/>
                <w:b/>
                <w:sz w:val="28"/>
                <w:szCs w:val="28"/>
                <w:lang w:val="uk-UA"/>
              </w:rPr>
              <w:t>Найменування послуги</w:t>
            </w:r>
            <w:r w:rsidR="00F73804" w:rsidRPr="00E20372">
              <w:rPr>
                <w:rFonts w:ascii="Times New Roman" w:hAnsi="Times New Roman" w:cs="Times New Roman"/>
                <w:b/>
                <w:sz w:val="28"/>
                <w:szCs w:val="28"/>
                <w:lang w:val="uk-UA"/>
              </w:rPr>
              <w:t>, що є предметом закупівлі</w:t>
            </w:r>
          </w:p>
        </w:tc>
        <w:tc>
          <w:tcPr>
            <w:tcW w:w="1560" w:type="dxa"/>
            <w:vAlign w:val="center"/>
          </w:tcPr>
          <w:p w:rsidR="00F73804" w:rsidRPr="00E20372" w:rsidRDefault="00F73804" w:rsidP="006E2C7A">
            <w:pPr>
              <w:pStyle w:val="a5"/>
              <w:ind w:left="0"/>
              <w:jc w:val="center"/>
              <w:rPr>
                <w:rFonts w:ascii="Times New Roman" w:hAnsi="Times New Roman" w:cs="Times New Roman"/>
                <w:b/>
                <w:sz w:val="28"/>
                <w:szCs w:val="28"/>
                <w:lang w:val="uk-UA"/>
              </w:rPr>
            </w:pPr>
            <w:r w:rsidRPr="00E20372">
              <w:rPr>
                <w:rFonts w:ascii="Times New Roman" w:hAnsi="Times New Roman" w:cs="Times New Roman"/>
                <w:b/>
                <w:sz w:val="28"/>
                <w:szCs w:val="28"/>
                <w:lang w:val="uk-UA"/>
              </w:rPr>
              <w:t>Одиниця виміру</w:t>
            </w:r>
          </w:p>
        </w:tc>
        <w:tc>
          <w:tcPr>
            <w:tcW w:w="2409" w:type="dxa"/>
            <w:vAlign w:val="center"/>
          </w:tcPr>
          <w:p w:rsidR="00F73804" w:rsidRPr="00E20372" w:rsidRDefault="00F73804" w:rsidP="006E2C7A">
            <w:pPr>
              <w:pStyle w:val="a5"/>
              <w:ind w:left="0"/>
              <w:jc w:val="center"/>
              <w:rPr>
                <w:rFonts w:ascii="Times New Roman" w:hAnsi="Times New Roman" w:cs="Times New Roman"/>
                <w:b/>
                <w:sz w:val="28"/>
                <w:szCs w:val="28"/>
                <w:lang w:val="uk-UA"/>
              </w:rPr>
            </w:pPr>
            <w:r w:rsidRPr="00E20372">
              <w:rPr>
                <w:rFonts w:ascii="Times New Roman" w:hAnsi="Times New Roman" w:cs="Times New Roman"/>
                <w:b/>
                <w:sz w:val="28"/>
                <w:szCs w:val="28"/>
                <w:lang w:val="uk-UA"/>
              </w:rPr>
              <w:t xml:space="preserve">Кількість </w:t>
            </w:r>
          </w:p>
        </w:tc>
      </w:tr>
      <w:tr w:rsidR="00F73804" w:rsidRPr="00E20372" w:rsidTr="009E434B">
        <w:tc>
          <w:tcPr>
            <w:tcW w:w="5778" w:type="dxa"/>
          </w:tcPr>
          <w:p w:rsidR="00F73804" w:rsidRPr="00E20372" w:rsidRDefault="00C174A8" w:rsidP="006E2C7A">
            <w:pPr>
              <w:pStyle w:val="a5"/>
              <w:ind w:left="0"/>
              <w:jc w:val="center"/>
              <w:rPr>
                <w:rFonts w:ascii="Times New Roman" w:hAnsi="Times New Roman" w:cs="Times New Roman"/>
                <w:sz w:val="28"/>
                <w:szCs w:val="28"/>
                <w:lang w:val="uk-UA"/>
              </w:rPr>
            </w:pPr>
            <w:r w:rsidRPr="00E20372">
              <w:rPr>
                <w:rFonts w:ascii="Times New Roman" w:hAnsi="Times New Roman" w:cs="Times New Roman"/>
                <w:sz w:val="28"/>
                <w:szCs w:val="28"/>
                <w:lang w:val="uk-UA"/>
              </w:rPr>
              <w:t>Розподіл електричної енергії</w:t>
            </w:r>
          </w:p>
        </w:tc>
        <w:tc>
          <w:tcPr>
            <w:tcW w:w="1560" w:type="dxa"/>
          </w:tcPr>
          <w:p w:rsidR="00F73804" w:rsidRPr="00E20372" w:rsidRDefault="00F73804" w:rsidP="006E2C7A">
            <w:pPr>
              <w:pStyle w:val="a5"/>
              <w:ind w:left="0"/>
              <w:jc w:val="center"/>
              <w:rPr>
                <w:rFonts w:ascii="Times New Roman" w:hAnsi="Times New Roman" w:cs="Times New Roman"/>
                <w:sz w:val="28"/>
                <w:szCs w:val="28"/>
                <w:lang w:val="uk-UA"/>
              </w:rPr>
            </w:pPr>
            <w:proofErr w:type="spellStart"/>
            <w:r w:rsidRPr="00E20372">
              <w:rPr>
                <w:rFonts w:ascii="Times New Roman" w:hAnsi="Times New Roman" w:cs="Times New Roman"/>
                <w:sz w:val="28"/>
                <w:szCs w:val="28"/>
                <w:lang w:val="uk-UA"/>
              </w:rPr>
              <w:t>кВт.год</w:t>
            </w:r>
            <w:proofErr w:type="spellEnd"/>
            <w:r w:rsidRPr="00E20372">
              <w:rPr>
                <w:rFonts w:ascii="Times New Roman" w:hAnsi="Times New Roman" w:cs="Times New Roman"/>
                <w:sz w:val="28"/>
                <w:szCs w:val="28"/>
                <w:lang w:val="uk-UA"/>
              </w:rPr>
              <w:t>.</w:t>
            </w:r>
          </w:p>
        </w:tc>
        <w:tc>
          <w:tcPr>
            <w:tcW w:w="2409" w:type="dxa"/>
          </w:tcPr>
          <w:p w:rsidR="00F73804" w:rsidRPr="00E20372" w:rsidRDefault="00F73804" w:rsidP="006E2C7A">
            <w:pPr>
              <w:pStyle w:val="a5"/>
              <w:ind w:left="0"/>
              <w:jc w:val="center"/>
              <w:rPr>
                <w:rFonts w:ascii="Times New Roman" w:hAnsi="Times New Roman" w:cs="Times New Roman"/>
                <w:sz w:val="28"/>
                <w:szCs w:val="28"/>
                <w:lang w:val="uk-UA"/>
              </w:rPr>
            </w:pPr>
            <w:r w:rsidRPr="00E20372">
              <w:rPr>
                <w:rFonts w:ascii="Times New Roman" w:hAnsi="Times New Roman" w:cs="Times New Roman"/>
                <w:sz w:val="28"/>
                <w:szCs w:val="28"/>
                <w:lang w:val="uk-UA"/>
              </w:rPr>
              <w:t>245947</w:t>
            </w:r>
            <w:r w:rsidR="00DB46CE" w:rsidRPr="00E20372">
              <w:rPr>
                <w:rFonts w:ascii="Times New Roman" w:hAnsi="Times New Roman" w:cs="Times New Roman"/>
                <w:sz w:val="28"/>
                <w:szCs w:val="28"/>
                <w:lang w:val="uk-UA"/>
              </w:rPr>
              <w:t>*</w:t>
            </w:r>
          </w:p>
        </w:tc>
      </w:tr>
    </w:tbl>
    <w:p w:rsidR="00DB46CE" w:rsidRPr="00E20372" w:rsidRDefault="00DB46CE" w:rsidP="006E2C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20372">
        <w:rPr>
          <w:rFonts w:ascii="Times New Roman" w:eastAsia="Times New Roman" w:hAnsi="Times New Roman" w:cs="Times New Roman"/>
          <w:sz w:val="28"/>
          <w:szCs w:val="28"/>
          <w:lang w:eastAsia="ru-RU"/>
        </w:rPr>
        <w:t>*Кількісною характеристикою предмета закупівлі є обсяг</w:t>
      </w:r>
      <w:r w:rsidR="007F07DE" w:rsidRPr="00E20372">
        <w:rPr>
          <w:rFonts w:ascii="Times New Roman" w:eastAsia="Times New Roman" w:hAnsi="Times New Roman" w:cs="Times New Roman"/>
          <w:sz w:val="28"/>
          <w:szCs w:val="28"/>
          <w:lang w:eastAsia="ru-RU"/>
        </w:rPr>
        <w:t xml:space="preserve"> споживання електричної енергії</w:t>
      </w:r>
    </w:p>
    <w:p w:rsidR="00DB46CE" w:rsidRPr="00E20372" w:rsidRDefault="00DB46CE" w:rsidP="006E2C7A">
      <w:pPr>
        <w:pStyle w:val="a3"/>
        <w:tabs>
          <w:tab w:val="left" w:pos="851"/>
        </w:tabs>
        <w:contextualSpacing/>
        <w:rPr>
          <w:b/>
          <w:sz w:val="28"/>
          <w:szCs w:val="28"/>
        </w:rPr>
      </w:pPr>
      <w:r w:rsidRPr="00E20372">
        <w:rPr>
          <w:b/>
          <w:sz w:val="28"/>
          <w:szCs w:val="28"/>
        </w:rPr>
        <w:t xml:space="preserve">Обсяги закупівлі та місце поставки: </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8"/>
        <w:gridCol w:w="2127"/>
        <w:gridCol w:w="1134"/>
        <w:gridCol w:w="1275"/>
        <w:gridCol w:w="2375"/>
      </w:tblGrid>
      <w:tr w:rsidR="007F07DE" w:rsidRPr="00E20372" w:rsidTr="00FD2DB3">
        <w:trPr>
          <w:cantSplit/>
          <w:trHeight w:val="1134"/>
        </w:trPr>
        <w:tc>
          <w:tcPr>
            <w:tcW w:w="567" w:type="dxa"/>
            <w:tcBorders>
              <w:right w:val="single" w:sz="4" w:space="0" w:color="auto"/>
            </w:tcBorders>
            <w:textDirection w:val="btLr"/>
          </w:tcPr>
          <w:p w:rsidR="007F07DE" w:rsidRPr="00E20372" w:rsidRDefault="007F07DE" w:rsidP="006E2C7A">
            <w:pPr>
              <w:pStyle w:val="a3"/>
              <w:tabs>
                <w:tab w:val="left" w:pos="851"/>
              </w:tabs>
              <w:ind w:left="113" w:right="113"/>
              <w:contextualSpacing/>
              <w:rPr>
                <w:sz w:val="22"/>
                <w:szCs w:val="22"/>
                <w:lang w:eastAsia="ru-RU"/>
              </w:rPr>
            </w:pPr>
            <w:r w:rsidRPr="00E20372">
              <w:rPr>
                <w:sz w:val="22"/>
                <w:szCs w:val="22"/>
                <w:lang w:eastAsia="ru-RU"/>
              </w:rPr>
              <w:t>Лоти</w:t>
            </w:r>
          </w:p>
        </w:tc>
        <w:tc>
          <w:tcPr>
            <w:tcW w:w="2268" w:type="dxa"/>
            <w:tcBorders>
              <w:right w:val="single" w:sz="4" w:space="0" w:color="auto"/>
            </w:tcBorders>
          </w:tcPr>
          <w:p w:rsidR="007F07DE" w:rsidRPr="00E20372" w:rsidRDefault="007F07DE" w:rsidP="006E2C7A">
            <w:pPr>
              <w:pStyle w:val="a3"/>
              <w:tabs>
                <w:tab w:val="left" w:pos="851"/>
              </w:tabs>
              <w:contextualSpacing/>
              <w:jc w:val="center"/>
              <w:rPr>
                <w:sz w:val="22"/>
                <w:szCs w:val="22"/>
                <w:lang w:eastAsia="ru-RU"/>
              </w:rPr>
            </w:pPr>
            <w:r w:rsidRPr="00E20372">
              <w:rPr>
                <w:sz w:val="22"/>
                <w:szCs w:val="22"/>
                <w:lang w:eastAsia="ru-RU"/>
              </w:rPr>
              <w:t>EIC – код точки комерційного обліку за об’єктом споживача</w:t>
            </w:r>
          </w:p>
        </w:tc>
        <w:tc>
          <w:tcPr>
            <w:tcW w:w="2127" w:type="dxa"/>
            <w:tcBorders>
              <w:right w:val="single" w:sz="4" w:space="0" w:color="auto"/>
            </w:tcBorders>
          </w:tcPr>
          <w:p w:rsidR="007F07DE" w:rsidRPr="00E20372" w:rsidRDefault="007F07DE" w:rsidP="006E2C7A">
            <w:pPr>
              <w:spacing w:line="240" w:lineRule="auto"/>
              <w:jc w:val="center"/>
              <w:rPr>
                <w:rFonts w:ascii="Times New Roman" w:hAnsi="Times New Roman" w:cs="Times New Roman"/>
              </w:rPr>
            </w:pPr>
            <w:r w:rsidRPr="00E20372">
              <w:rPr>
                <w:rFonts w:ascii="Times New Roman" w:hAnsi="Times New Roman" w:cs="Times New Roman"/>
              </w:rPr>
              <w:t xml:space="preserve">Найменування підрозділу </w:t>
            </w:r>
          </w:p>
          <w:p w:rsidR="007F07DE" w:rsidRPr="00E20372" w:rsidRDefault="007F07DE" w:rsidP="006E2C7A">
            <w:pPr>
              <w:pStyle w:val="a3"/>
              <w:tabs>
                <w:tab w:val="left" w:pos="851"/>
              </w:tabs>
              <w:contextualSpacing/>
              <w:jc w:val="center"/>
              <w:rPr>
                <w:sz w:val="22"/>
                <w:szCs w:val="22"/>
                <w:lang w:eastAsia="ru-RU"/>
              </w:rPr>
            </w:pPr>
            <w:r w:rsidRPr="00E20372">
              <w:rPr>
                <w:sz w:val="22"/>
                <w:szCs w:val="22"/>
              </w:rPr>
              <w:t>ТОВ «</w:t>
            </w:r>
            <w:proofErr w:type="spellStart"/>
            <w:r w:rsidRPr="00E20372">
              <w:rPr>
                <w:sz w:val="22"/>
                <w:szCs w:val="22"/>
              </w:rPr>
              <w:t>ЛЕО</w:t>
            </w:r>
            <w:proofErr w:type="spellEnd"/>
            <w:r w:rsidRPr="00E20372">
              <w:rPr>
                <w:sz w:val="22"/>
                <w:szCs w:val="22"/>
              </w:rPr>
              <w:t>»</w:t>
            </w:r>
          </w:p>
        </w:tc>
        <w:tc>
          <w:tcPr>
            <w:tcW w:w="1134" w:type="dxa"/>
            <w:tcBorders>
              <w:left w:val="single" w:sz="4" w:space="0" w:color="auto"/>
              <w:right w:val="single" w:sz="4" w:space="0" w:color="auto"/>
            </w:tcBorders>
          </w:tcPr>
          <w:p w:rsidR="007F07DE" w:rsidRPr="00E20372" w:rsidRDefault="007F07DE" w:rsidP="006E2C7A">
            <w:pPr>
              <w:pStyle w:val="a3"/>
              <w:tabs>
                <w:tab w:val="left" w:pos="851"/>
              </w:tabs>
              <w:contextualSpacing/>
              <w:jc w:val="center"/>
              <w:rPr>
                <w:sz w:val="22"/>
                <w:szCs w:val="22"/>
                <w:lang w:eastAsia="ru-RU"/>
              </w:rPr>
            </w:pPr>
            <w:r w:rsidRPr="00E20372">
              <w:rPr>
                <w:sz w:val="22"/>
                <w:szCs w:val="22"/>
                <w:lang w:eastAsia="ru-RU"/>
              </w:rPr>
              <w:t xml:space="preserve">Обсяги поставки, </w:t>
            </w:r>
            <w:proofErr w:type="spellStart"/>
            <w:r w:rsidRPr="00E20372">
              <w:rPr>
                <w:sz w:val="22"/>
                <w:szCs w:val="22"/>
                <w:lang w:eastAsia="ru-RU"/>
              </w:rPr>
              <w:t>кВт.год</w:t>
            </w:r>
            <w:proofErr w:type="spellEnd"/>
          </w:p>
        </w:tc>
        <w:tc>
          <w:tcPr>
            <w:tcW w:w="1275" w:type="dxa"/>
            <w:tcBorders>
              <w:left w:val="single" w:sz="4" w:space="0" w:color="auto"/>
            </w:tcBorders>
          </w:tcPr>
          <w:p w:rsidR="007F07DE" w:rsidRPr="00E20372" w:rsidRDefault="007F07DE" w:rsidP="006E2C7A">
            <w:pPr>
              <w:pStyle w:val="a3"/>
              <w:tabs>
                <w:tab w:val="left" w:pos="851"/>
              </w:tabs>
              <w:contextualSpacing/>
              <w:jc w:val="center"/>
              <w:rPr>
                <w:sz w:val="22"/>
                <w:szCs w:val="22"/>
                <w:lang w:eastAsia="ru-RU"/>
              </w:rPr>
            </w:pPr>
            <w:r w:rsidRPr="00E20372">
              <w:rPr>
                <w:sz w:val="22"/>
                <w:szCs w:val="22"/>
                <w:lang w:eastAsia="ru-RU"/>
              </w:rPr>
              <w:t>Очікувана вартість, грн.</w:t>
            </w:r>
          </w:p>
        </w:tc>
        <w:tc>
          <w:tcPr>
            <w:tcW w:w="2375" w:type="dxa"/>
          </w:tcPr>
          <w:p w:rsidR="007F07DE" w:rsidRPr="00E20372" w:rsidRDefault="007F07DE" w:rsidP="006E2C7A">
            <w:pPr>
              <w:pStyle w:val="a3"/>
              <w:tabs>
                <w:tab w:val="left" w:pos="851"/>
              </w:tabs>
              <w:contextualSpacing/>
              <w:jc w:val="center"/>
              <w:rPr>
                <w:sz w:val="22"/>
                <w:szCs w:val="22"/>
                <w:lang w:eastAsia="ru-RU"/>
              </w:rPr>
            </w:pPr>
            <w:r w:rsidRPr="00E20372">
              <w:rPr>
                <w:sz w:val="22"/>
                <w:szCs w:val="22"/>
                <w:lang w:eastAsia="ru-RU"/>
              </w:rPr>
              <w:t>Місце поставки</w:t>
            </w:r>
          </w:p>
        </w:tc>
      </w:tr>
      <w:tr w:rsidR="007F07DE" w:rsidRPr="00E20372" w:rsidTr="00FD2DB3">
        <w:tc>
          <w:tcPr>
            <w:tcW w:w="567" w:type="dxa"/>
            <w:vAlign w:val="center"/>
          </w:tcPr>
          <w:p w:rsidR="007F07DE" w:rsidRPr="00E20372" w:rsidRDefault="007F07DE" w:rsidP="006E2C7A">
            <w:pPr>
              <w:spacing w:line="240" w:lineRule="auto"/>
              <w:jc w:val="center"/>
              <w:rPr>
                <w:rFonts w:ascii="Times New Roman" w:hAnsi="Times New Roman" w:cs="Times New Roman"/>
                <w:b/>
                <w:lang w:eastAsia="uk-UA"/>
              </w:rPr>
            </w:pPr>
            <w:r w:rsidRPr="00E20372">
              <w:rPr>
                <w:rFonts w:ascii="Times New Roman" w:hAnsi="Times New Roman" w:cs="Times New Roman"/>
                <w:b/>
                <w:lang w:eastAsia="uk-UA"/>
              </w:rPr>
              <w:t>1</w:t>
            </w:r>
          </w:p>
        </w:tc>
        <w:tc>
          <w:tcPr>
            <w:tcW w:w="2268" w:type="dxa"/>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62Z2584269080594</w:t>
            </w:r>
          </w:p>
        </w:tc>
        <w:tc>
          <w:tcPr>
            <w:tcW w:w="2127" w:type="dxa"/>
          </w:tcPr>
          <w:p w:rsidR="007F07DE" w:rsidRPr="00E20372" w:rsidRDefault="007F07DE" w:rsidP="006E2C7A">
            <w:pPr>
              <w:pStyle w:val="a3"/>
              <w:tabs>
                <w:tab w:val="left" w:pos="851"/>
              </w:tabs>
              <w:contextualSpacing/>
              <w:jc w:val="center"/>
              <w:rPr>
                <w:b/>
                <w:sz w:val="22"/>
                <w:szCs w:val="22"/>
                <w:lang w:eastAsia="ru-RU"/>
              </w:rPr>
            </w:pPr>
          </w:p>
          <w:p w:rsidR="007F07DE" w:rsidRPr="00E20372" w:rsidRDefault="007F07DE" w:rsidP="006E2C7A">
            <w:pPr>
              <w:spacing w:line="240" w:lineRule="auto"/>
              <w:rPr>
                <w:rFonts w:ascii="Times New Roman" w:hAnsi="Times New Roman" w:cs="Times New Roman"/>
                <w:b/>
              </w:rPr>
            </w:pPr>
          </w:p>
          <w:p w:rsidR="007F07DE" w:rsidRPr="00E20372" w:rsidRDefault="007F07DE" w:rsidP="006E2C7A">
            <w:pPr>
              <w:spacing w:line="240" w:lineRule="auto"/>
              <w:jc w:val="center"/>
              <w:rPr>
                <w:rFonts w:ascii="Times New Roman" w:hAnsi="Times New Roman" w:cs="Times New Roman"/>
                <w:b/>
              </w:rPr>
            </w:pPr>
            <w:proofErr w:type="spellStart"/>
            <w:r w:rsidRPr="00E20372">
              <w:rPr>
                <w:rFonts w:ascii="Times New Roman" w:hAnsi="Times New Roman" w:cs="Times New Roman"/>
                <w:b/>
              </w:rPr>
              <w:t>Старобільський</w:t>
            </w:r>
            <w:proofErr w:type="spellEnd"/>
            <w:r w:rsidRPr="00E20372">
              <w:rPr>
                <w:rFonts w:ascii="Times New Roman" w:hAnsi="Times New Roman" w:cs="Times New Roman"/>
                <w:b/>
              </w:rPr>
              <w:t xml:space="preserve"> РЕМ</w:t>
            </w:r>
          </w:p>
          <w:p w:rsidR="007F07DE" w:rsidRPr="00E20372" w:rsidRDefault="007F07DE" w:rsidP="006E2C7A">
            <w:pPr>
              <w:spacing w:line="240" w:lineRule="auto"/>
              <w:jc w:val="center"/>
              <w:rPr>
                <w:rFonts w:ascii="Times New Roman" w:hAnsi="Times New Roman" w:cs="Times New Roman"/>
                <w:b/>
              </w:rPr>
            </w:pPr>
            <w:r w:rsidRPr="00E20372">
              <w:rPr>
                <w:rFonts w:ascii="Times New Roman" w:hAnsi="Times New Roman" w:cs="Times New Roman"/>
                <w:b/>
              </w:rPr>
              <w:t>ТОВ «</w:t>
            </w:r>
            <w:proofErr w:type="spellStart"/>
            <w:r w:rsidRPr="00E20372">
              <w:rPr>
                <w:rFonts w:ascii="Times New Roman" w:hAnsi="Times New Roman" w:cs="Times New Roman"/>
                <w:b/>
              </w:rPr>
              <w:t>ЛЕО</w:t>
            </w:r>
            <w:proofErr w:type="spellEnd"/>
            <w:r w:rsidRPr="00E20372">
              <w:rPr>
                <w:rFonts w:ascii="Times New Roman" w:hAnsi="Times New Roman" w:cs="Times New Roman"/>
                <w:b/>
              </w:rPr>
              <w:t>»</w:t>
            </w:r>
          </w:p>
        </w:tc>
        <w:tc>
          <w:tcPr>
            <w:tcW w:w="1134" w:type="dxa"/>
            <w:tcBorders>
              <w:right w:val="single" w:sz="4" w:space="0" w:color="auto"/>
            </w:tcBorders>
            <w:vAlign w:val="center"/>
          </w:tcPr>
          <w:p w:rsidR="007F07DE" w:rsidRPr="00E20372" w:rsidRDefault="007F07DE" w:rsidP="006E2C7A">
            <w:pPr>
              <w:pStyle w:val="a3"/>
              <w:tabs>
                <w:tab w:val="left" w:pos="851"/>
              </w:tabs>
              <w:contextualSpacing/>
              <w:jc w:val="center"/>
              <w:rPr>
                <w:sz w:val="22"/>
                <w:szCs w:val="22"/>
                <w:lang w:eastAsia="ru-RU"/>
              </w:rPr>
            </w:pPr>
            <w:r w:rsidRPr="00E20372">
              <w:rPr>
                <w:b/>
                <w:sz w:val="22"/>
                <w:szCs w:val="22"/>
                <w:lang w:eastAsia="ru-RU"/>
              </w:rPr>
              <w:t>82000</w:t>
            </w:r>
          </w:p>
        </w:tc>
        <w:tc>
          <w:tcPr>
            <w:tcW w:w="1275" w:type="dxa"/>
            <w:tcBorders>
              <w:lef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147204,43</w:t>
            </w:r>
          </w:p>
        </w:tc>
        <w:tc>
          <w:tcPr>
            <w:tcW w:w="2375" w:type="dxa"/>
          </w:tcPr>
          <w:p w:rsidR="007F07DE" w:rsidRPr="00E20372" w:rsidRDefault="007F07DE" w:rsidP="006E2C7A">
            <w:pPr>
              <w:pStyle w:val="a3"/>
              <w:tabs>
                <w:tab w:val="left" w:pos="851"/>
              </w:tabs>
              <w:contextualSpacing/>
              <w:rPr>
                <w:b/>
                <w:sz w:val="22"/>
                <w:szCs w:val="22"/>
                <w:lang w:eastAsia="ru-RU"/>
              </w:rPr>
            </w:pPr>
            <w:r w:rsidRPr="00E20372">
              <w:rPr>
                <w:b/>
                <w:sz w:val="22"/>
                <w:szCs w:val="22"/>
                <w:lang w:eastAsia="ru-RU"/>
              </w:rPr>
              <w:t xml:space="preserve">Адміністративні будівлі                               Східної митниці Держмитслужби за адресою:  92701, Луганська область, </w:t>
            </w:r>
            <w:proofErr w:type="spellStart"/>
            <w:r w:rsidRPr="00E20372">
              <w:rPr>
                <w:b/>
                <w:sz w:val="22"/>
                <w:szCs w:val="22"/>
                <w:lang w:eastAsia="ru-RU"/>
              </w:rPr>
              <w:t>Старобільський</w:t>
            </w:r>
            <w:proofErr w:type="spellEnd"/>
            <w:r w:rsidRPr="00E20372">
              <w:rPr>
                <w:b/>
                <w:sz w:val="22"/>
                <w:szCs w:val="22"/>
                <w:lang w:eastAsia="ru-RU"/>
              </w:rPr>
              <w:t xml:space="preserve"> район, </w:t>
            </w:r>
            <w:proofErr w:type="spellStart"/>
            <w:r w:rsidRPr="00E20372">
              <w:rPr>
                <w:b/>
                <w:sz w:val="22"/>
                <w:szCs w:val="22"/>
                <w:lang w:eastAsia="ru-RU"/>
              </w:rPr>
              <w:t>м.Старобільськ</w:t>
            </w:r>
            <w:proofErr w:type="spellEnd"/>
            <w:r w:rsidRPr="00E20372">
              <w:rPr>
                <w:b/>
                <w:sz w:val="22"/>
                <w:szCs w:val="22"/>
                <w:lang w:eastAsia="ru-RU"/>
              </w:rPr>
              <w:t xml:space="preserve">, </w:t>
            </w:r>
            <w:proofErr w:type="spellStart"/>
            <w:r w:rsidRPr="00E20372">
              <w:rPr>
                <w:b/>
                <w:sz w:val="22"/>
                <w:szCs w:val="22"/>
                <w:lang w:eastAsia="ru-RU"/>
              </w:rPr>
              <w:t>вул.Лангемака</w:t>
            </w:r>
            <w:proofErr w:type="spellEnd"/>
            <w:r w:rsidRPr="00E20372">
              <w:rPr>
                <w:b/>
                <w:sz w:val="22"/>
                <w:szCs w:val="22"/>
                <w:lang w:eastAsia="ru-RU"/>
              </w:rPr>
              <w:t>,76</w:t>
            </w:r>
          </w:p>
        </w:tc>
      </w:tr>
      <w:tr w:rsidR="007F07DE" w:rsidRPr="00E20372" w:rsidTr="00FD2DB3">
        <w:tc>
          <w:tcPr>
            <w:tcW w:w="567" w:type="dxa"/>
            <w:vMerge w:val="restart"/>
            <w:vAlign w:val="center"/>
          </w:tcPr>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2</w:t>
            </w:r>
          </w:p>
        </w:tc>
        <w:tc>
          <w:tcPr>
            <w:tcW w:w="2268" w:type="dxa"/>
            <w:vAlign w:val="center"/>
          </w:tcPr>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62Z5471457206183</w:t>
            </w:r>
          </w:p>
        </w:tc>
        <w:tc>
          <w:tcPr>
            <w:tcW w:w="2127" w:type="dxa"/>
            <w:vMerge w:val="restart"/>
          </w:tcPr>
          <w:p w:rsidR="007F07DE" w:rsidRPr="00E20372" w:rsidRDefault="007F07DE"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rPr>
                <w:b/>
                <w:sz w:val="22"/>
                <w:szCs w:val="22"/>
                <w:lang w:eastAsia="ru-RU"/>
              </w:rPr>
            </w:pPr>
          </w:p>
          <w:p w:rsidR="007F07DE" w:rsidRPr="00E20372" w:rsidRDefault="007F07DE" w:rsidP="006E2C7A">
            <w:pPr>
              <w:pStyle w:val="a3"/>
              <w:tabs>
                <w:tab w:val="left" w:pos="851"/>
              </w:tabs>
              <w:contextualSpacing/>
              <w:rPr>
                <w:b/>
                <w:sz w:val="22"/>
                <w:szCs w:val="22"/>
                <w:lang w:eastAsia="ru-RU"/>
              </w:rPr>
            </w:pPr>
          </w:p>
          <w:p w:rsidR="007F07DE" w:rsidRPr="00E20372" w:rsidRDefault="007F07DE" w:rsidP="006E2C7A">
            <w:pPr>
              <w:pStyle w:val="a3"/>
              <w:tabs>
                <w:tab w:val="left" w:pos="851"/>
              </w:tabs>
              <w:contextualSpacing/>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Біловодський РЕМ</w:t>
            </w:r>
          </w:p>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ТОВ «</w:t>
            </w:r>
            <w:proofErr w:type="spellStart"/>
            <w:r w:rsidRPr="00E20372">
              <w:rPr>
                <w:b/>
                <w:sz w:val="22"/>
                <w:szCs w:val="22"/>
                <w:lang w:eastAsia="ru-RU"/>
              </w:rPr>
              <w:t>ЛЕО</w:t>
            </w:r>
            <w:proofErr w:type="spellEnd"/>
            <w:r w:rsidRPr="00E20372">
              <w:rPr>
                <w:b/>
                <w:sz w:val="22"/>
                <w:szCs w:val="22"/>
                <w:lang w:eastAsia="ru-RU"/>
              </w:rPr>
              <w:t>»</w:t>
            </w:r>
          </w:p>
          <w:p w:rsidR="007F07DE" w:rsidRPr="00E20372" w:rsidRDefault="007F07DE"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rPr>
                <w:b/>
                <w:sz w:val="22"/>
                <w:szCs w:val="22"/>
                <w:lang w:eastAsia="ru-RU"/>
              </w:rPr>
            </w:pPr>
          </w:p>
          <w:p w:rsidR="007F07DE" w:rsidRPr="00E20372" w:rsidRDefault="007F07DE" w:rsidP="006E2C7A">
            <w:pPr>
              <w:pStyle w:val="a3"/>
              <w:tabs>
                <w:tab w:val="left" w:pos="851"/>
              </w:tabs>
              <w:contextualSpacing/>
              <w:rPr>
                <w:b/>
                <w:sz w:val="22"/>
                <w:szCs w:val="22"/>
                <w:lang w:eastAsia="ru-RU"/>
              </w:rPr>
            </w:pPr>
          </w:p>
        </w:tc>
        <w:tc>
          <w:tcPr>
            <w:tcW w:w="1134" w:type="dxa"/>
            <w:vMerge w:val="restart"/>
            <w:tcBorders>
              <w:right w:val="single" w:sz="4" w:space="0" w:color="auto"/>
            </w:tcBorders>
            <w:vAlign w:val="center"/>
          </w:tcPr>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120800</w:t>
            </w:r>
          </w:p>
        </w:tc>
        <w:tc>
          <w:tcPr>
            <w:tcW w:w="1275" w:type="dxa"/>
            <w:vMerge w:val="restart"/>
            <w:tcBorders>
              <w:left w:val="single" w:sz="4" w:space="0" w:color="auto"/>
            </w:tcBorders>
            <w:vAlign w:val="center"/>
          </w:tcPr>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216857,26</w:t>
            </w:r>
          </w:p>
        </w:tc>
        <w:tc>
          <w:tcPr>
            <w:tcW w:w="2375" w:type="dxa"/>
          </w:tcPr>
          <w:p w:rsidR="007F07DE" w:rsidRPr="00E20372" w:rsidRDefault="007F07DE" w:rsidP="006E2C7A">
            <w:pPr>
              <w:pStyle w:val="a3"/>
              <w:tabs>
                <w:tab w:val="left" w:pos="851"/>
              </w:tabs>
              <w:contextualSpacing/>
              <w:rPr>
                <w:b/>
                <w:sz w:val="22"/>
                <w:szCs w:val="22"/>
                <w:lang w:eastAsia="ru-RU"/>
              </w:rPr>
            </w:pPr>
            <w:r w:rsidRPr="00E20372">
              <w:rPr>
                <w:b/>
                <w:sz w:val="22"/>
                <w:szCs w:val="22"/>
                <w:lang w:eastAsia="ru-RU"/>
              </w:rPr>
              <w:t>Митний пост «</w:t>
            </w:r>
            <w:proofErr w:type="spellStart"/>
            <w:r w:rsidRPr="00E20372">
              <w:rPr>
                <w:b/>
                <w:sz w:val="22"/>
                <w:szCs w:val="22"/>
                <w:lang w:eastAsia="ru-RU"/>
              </w:rPr>
              <w:t>Мілове</w:t>
            </w:r>
            <w:proofErr w:type="spellEnd"/>
            <w:r w:rsidRPr="00E20372">
              <w:rPr>
                <w:b/>
                <w:sz w:val="22"/>
                <w:szCs w:val="22"/>
                <w:lang w:eastAsia="ru-RU"/>
              </w:rPr>
              <w:t xml:space="preserve">»                      Східної митниці Держмитслужби за адресою: 92500, Луганська область, </w:t>
            </w:r>
            <w:proofErr w:type="spellStart"/>
            <w:r w:rsidRPr="00E20372">
              <w:rPr>
                <w:b/>
                <w:sz w:val="22"/>
                <w:szCs w:val="22"/>
                <w:lang w:eastAsia="ru-RU"/>
              </w:rPr>
              <w:t>Міловський</w:t>
            </w:r>
            <w:proofErr w:type="spellEnd"/>
            <w:r w:rsidRPr="00E20372">
              <w:rPr>
                <w:b/>
                <w:sz w:val="22"/>
                <w:szCs w:val="22"/>
                <w:lang w:eastAsia="ru-RU"/>
              </w:rPr>
              <w:t xml:space="preserve"> район, </w:t>
            </w:r>
            <w:proofErr w:type="spellStart"/>
            <w:r w:rsidRPr="00E20372">
              <w:rPr>
                <w:b/>
                <w:sz w:val="22"/>
                <w:szCs w:val="22"/>
                <w:lang w:eastAsia="ru-RU"/>
              </w:rPr>
              <w:t>смт</w:t>
            </w:r>
            <w:proofErr w:type="spellEnd"/>
            <w:r w:rsidRPr="00E20372">
              <w:rPr>
                <w:b/>
                <w:sz w:val="22"/>
                <w:szCs w:val="22"/>
                <w:lang w:eastAsia="ru-RU"/>
              </w:rPr>
              <w:t xml:space="preserve">. </w:t>
            </w:r>
            <w:proofErr w:type="spellStart"/>
            <w:r w:rsidRPr="00E20372">
              <w:rPr>
                <w:b/>
                <w:sz w:val="22"/>
                <w:szCs w:val="22"/>
                <w:lang w:eastAsia="ru-RU"/>
              </w:rPr>
              <w:t>Мілове</w:t>
            </w:r>
            <w:proofErr w:type="spellEnd"/>
            <w:r w:rsidRPr="00E20372">
              <w:rPr>
                <w:b/>
                <w:sz w:val="22"/>
                <w:szCs w:val="22"/>
                <w:lang w:eastAsia="ru-RU"/>
              </w:rPr>
              <w:t xml:space="preserve">, </w:t>
            </w:r>
            <w:proofErr w:type="spellStart"/>
            <w:r w:rsidRPr="00E20372">
              <w:rPr>
                <w:b/>
                <w:sz w:val="22"/>
                <w:szCs w:val="22"/>
                <w:lang w:eastAsia="ru-RU"/>
              </w:rPr>
              <w:t>вул.Дружби</w:t>
            </w:r>
            <w:proofErr w:type="spellEnd"/>
            <w:r w:rsidRPr="00E20372">
              <w:rPr>
                <w:b/>
                <w:sz w:val="22"/>
                <w:szCs w:val="22"/>
                <w:lang w:eastAsia="ru-RU"/>
              </w:rPr>
              <w:t xml:space="preserve"> Народів, 185</w:t>
            </w:r>
          </w:p>
          <w:p w:rsidR="006E2C7A" w:rsidRPr="00E20372" w:rsidRDefault="006E2C7A" w:rsidP="006E2C7A">
            <w:pPr>
              <w:pStyle w:val="a3"/>
              <w:tabs>
                <w:tab w:val="left" w:pos="851"/>
              </w:tabs>
              <w:contextualSpacing/>
              <w:rPr>
                <w:b/>
                <w:sz w:val="22"/>
                <w:szCs w:val="22"/>
                <w:lang w:eastAsia="ru-RU"/>
              </w:rPr>
            </w:pPr>
          </w:p>
        </w:tc>
      </w:tr>
      <w:tr w:rsidR="007F07DE" w:rsidRPr="00E20372" w:rsidTr="00FD2DB3">
        <w:tc>
          <w:tcPr>
            <w:tcW w:w="567" w:type="dxa"/>
            <w:vMerge/>
            <w:vAlign w:val="center"/>
          </w:tcPr>
          <w:p w:rsidR="007F07DE" w:rsidRPr="00E20372" w:rsidRDefault="007F07DE" w:rsidP="006E2C7A">
            <w:pPr>
              <w:pStyle w:val="a3"/>
              <w:tabs>
                <w:tab w:val="left" w:pos="851"/>
              </w:tabs>
              <w:contextualSpacing/>
              <w:jc w:val="center"/>
              <w:rPr>
                <w:b/>
                <w:sz w:val="22"/>
                <w:szCs w:val="22"/>
                <w:lang w:eastAsia="ru-RU"/>
              </w:rPr>
            </w:pPr>
          </w:p>
        </w:tc>
        <w:tc>
          <w:tcPr>
            <w:tcW w:w="2268" w:type="dxa"/>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62Z9381875220336</w:t>
            </w:r>
          </w:p>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62Z7280958585517</w:t>
            </w:r>
          </w:p>
        </w:tc>
        <w:tc>
          <w:tcPr>
            <w:tcW w:w="2127" w:type="dxa"/>
            <w:vMerge/>
          </w:tcPr>
          <w:p w:rsidR="007F07DE" w:rsidRPr="00E20372" w:rsidRDefault="007F07DE" w:rsidP="006E2C7A">
            <w:pPr>
              <w:pStyle w:val="a3"/>
              <w:tabs>
                <w:tab w:val="left" w:pos="851"/>
              </w:tabs>
              <w:contextualSpacing/>
              <w:jc w:val="center"/>
              <w:rPr>
                <w:b/>
                <w:sz w:val="22"/>
                <w:szCs w:val="22"/>
                <w:lang w:eastAsia="ru-RU"/>
              </w:rPr>
            </w:pPr>
          </w:p>
        </w:tc>
        <w:tc>
          <w:tcPr>
            <w:tcW w:w="1134" w:type="dxa"/>
            <w:vMerge/>
            <w:tcBorders>
              <w:righ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p>
        </w:tc>
        <w:tc>
          <w:tcPr>
            <w:tcW w:w="1275" w:type="dxa"/>
            <w:vMerge/>
            <w:tcBorders>
              <w:lef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p>
        </w:tc>
        <w:tc>
          <w:tcPr>
            <w:tcW w:w="2375" w:type="dxa"/>
          </w:tcPr>
          <w:p w:rsidR="007F07DE" w:rsidRPr="00E20372" w:rsidRDefault="007F07DE" w:rsidP="006E2C7A">
            <w:pPr>
              <w:pStyle w:val="a3"/>
              <w:tabs>
                <w:tab w:val="left" w:pos="851"/>
              </w:tabs>
              <w:contextualSpacing/>
              <w:rPr>
                <w:b/>
                <w:sz w:val="22"/>
                <w:szCs w:val="22"/>
                <w:lang w:eastAsia="ru-RU"/>
              </w:rPr>
            </w:pPr>
            <w:r w:rsidRPr="00E20372">
              <w:rPr>
                <w:b/>
                <w:sz w:val="22"/>
                <w:szCs w:val="22"/>
                <w:lang w:eastAsia="ru-RU"/>
              </w:rPr>
              <w:t xml:space="preserve">Митний пост «Просяне»                   Східної митниці Держмитслужби за адресою: 92420, Луганська область, </w:t>
            </w:r>
            <w:proofErr w:type="spellStart"/>
            <w:r w:rsidRPr="00E20372">
              <w:rPr>
                <w:b/>
                <w:sz w:val="22"/>
                <w:szCs w:val="22"/>
                <w:lang w:eastAsia="ru-RU"/>
              </w:rPr>
              <w:t>Марківський</w:t>
            </w:r>
            <w:proofErr w:type="spellEnd"/>
            <w:r w:rsidRPr="00E20372">
              <w:rPr>
                <w:b/>
                <w:sz w:val="22"/>
                <w:szCs w:val="22"/>
                <w:lang w:eastAsia="ru-RU"/>
              </w:rPr>
              <w:t xml:space="preserve"> район, </w:t>
            </w:r>
            <w:proofErr w:type="spellStart"/>
            <w:r w:rsidRPr="00E20372">
              <w:rPr>
                <w:b/>
                <w:sz w:val="22"/>
                <w:szCs w:val="22"/>
                <w:lang w:eastAsia="ru-RU"/>
              </w:rPr>
              <w:t>с.Просяне</w:t>
            </w:r>
            <w:proofErr w:type="spellEnd"/>
            <w:r w:rsidRPr="00E20372">
              <w:rPr>
                <w:b/>
                <w:sz w:val="22"/>
                <w:szCs w:val="22"/>
                <w:lang w:eastAsia="ru-RU"/>
              </w:rPr>
              <w:t xml:space="preserve"> </w:t>
            </w:r>
          </w:p>
        </w:tc>
      </w:tr>
      <w:tr w:rsidR="007F07DE" w:rsidRPr="00E20372" w:rsidTr="00FD2DB3">
        <w:tc>
          <w:tcPr>
            <w:tcW w:w="567" w:type="dxa"/>
            <w:vMerge w:val="restart"/>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lastRenderedPageBreak/>
              <w:t>3</w:t>
            </w:r>
          </w:p>
        </w:tc>
        <w:tc>
          <w:tcPr>
            <w:tcW w:w="2268" w:type="dxa"/>
            <w:vAlign w:val="center"/>
          </w:tcPr>
          <w:p w:rsidR="007F07DE" w:rsidRPr="00E20372" w:rsidRDefault="007F07DE" w:rsidP="006E2C7A">
            <w:pPr>
              <w:spacing w:line="240" w:lineRule="auto"/>
              <w:jc w:val="center"/>
              <w:rPr>
                <w:rFonts w:ascii="Times New Roman" w:hAnsi="Times New Roman" w:cs="Times New Roman"/>
              </w:rPr>
            </w:pPr>
            <w:r w:rsidRPr="00E20372">
              <w:rPr>
                <w:rFonts w:ascii="Times New Roman" w:hAnsi="Times New Roman" w:cs="Times New Roman"/>
                <w:b/>
              </w:rPr>
              <w:t>62Z0508828921904</w:t>
            </w:r>
          </w:p>
        </w:tc>
        <w:tc>
          <w:tcPr>
            <w:tcW w:w="2127" w:type="dxa"/>
            <w:vMerge w:val="restart"/>
          </w:tcPr>
          <w:p w:rsidR="007F07DE" w:rsidRPr="00E20372" w:rsidRDefault="007F07DE"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jc w:val="center"/>
              <w:rPr>
                <w:b/>
                <w:sz w:val="22"/>
                <w:szCs w:val="22"/>
                <w:lang w:eastAsia="ru-RU"/>
              </w:rPr>
            </w:pPr>
            <w:proofErr w:type="spellStart"/>
            <w:r w:rsidRPr="00E20372">
              <w:rPr>
                <w:b/>
                <w:sz w:val="22"/>
                <w:szCs w:val="22"/>
                <w:lang w:eastAsia="ru-RU"/>
              </w:rPr>
              <w:t>Новопсковський</w:t>
            </w:r>
            <w:proofErr w:type="spellEnd"/>
            <w:r w:rsidRPr="00E20372">
              <w:rPr>
                <w:b/>
                <w:sz w:val="22"/>
                <w:szCs w:val="22"/>
                <w:lang w:eastAsia="ru-RU"/>
              </w:rPr>
              <w:t xml:space="preserve"> РЕМ </w:t>
            </w:r>
          </w:p>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ТОВ «</w:t>
            </w:r>
            <w:proofErr w:type="spellStart"/>
            <w:r w:rsidRPr="00E20372">
              <w:rPr>
                <w:b/>
                <w:sz w:val="22"/>
                <w:szCs w:val="22"/>
                <w:lang w:eastAsia="ru-RU"/>
              </w:rPr>
              <w:t>ЛЕО</w:t>
            </w:r>
            <w:proofErr w:type="spellEnd"/>
            <w:r w:rsidRPr="00E20372">
              <w:rPr>
                <w:b/>
                <w:sz w:val="22"/>
                <w:szCs w:val="22"/>
                <w:lang w:eastAsia="ru-RU"/>
              </w:rPr>
              <w:t>»</w:t>
            </w:r>
          </w:p>
        </w:tc>
        <w:tc>
          <w:tcPr>
            <w:tcW w:w="1134" w:type="dxa"/>
            <w:vMerge w:val="restart"/>
            <w:tcBorders>
              <w:righ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39147</w:t>
            </w:r>
          </w:p>
        </w:tc>
        <w:tc>
          <w:tcPr>
            <w:tcW w:w="1275" w:type="dxa"/>
            <w:vMerge w:val="restart"/>
            <w:tcBorders>
              <w:lef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70275,75</w:t>
            </w:r>
          </w:p>
        </w:tc>
        <w:tc>
          <w:tcPr>
            <w:tcW w:w="2375" w:type="dxa"/>
          </w:tcPr>
          <w:p w:rsidR="007F07DE" w:rsidRPr="00E20372" w:rsidRDefault="007F07DE" w:rsidP="006E2C7A">
            <w:pPr>
              <w:pStyle w:val="a3"/>
              <w:tabs>
                <w:tab w:val="left" w:pos="851"/>
              </w:tabs>
              <w:contextualSpacing/>
              <w:rPr>
                <w:b/>
                <w:sz w:val="22"/>
                <w:szCs w:val="22"/>
                <w:lang w:eastAsia="ru-RU"/>
              </w:rPr>
            </w:pPr>
            <w:r w:rsidRPr="00E20372">
              <w:rPr>
                <w:b/>
                <w:sz w:val="22"/>
                <w:szCs w:val="22"/>
                <w:lang w:eastAsia="ru-RU"/>
              </w:rPr>
              <w:t>Митний пост «</w:t>
            </w:r>
            <w:proofErr w:type="spellStart"/>
            <w:r w:rsidRPr="00E20372">
              <w:rPr>
                <w:b/>
                <w:sz w:val="22"/>
                <w:szCs w:val="22"/>
                <w:lang w:eastAsia="ru-RU"/>
              </w:rPr>
              <w:t>Танюшівка</w:t>
            </w:r>
            <w:proofErr w:type="spellEnd"/>
            <w:r w:rsidRPr="00E20372">
              <w:rPr>
                <w:b/>
                <w:sz w:val="22"/>
                <w:szCs w:val="22"/>
                <w:lang w:eastAsia="ru-RU"/>
              </w:rPr>
              <w:t xml:space="preserve">» Східної митниці Держмитслужби за адресою: 92312, Луганська область, </w:t>
            </w:r>
            <w:proofErr w:type="spellStart"/>
            <w:r w:rsidRPr="00E20372">
              <w:rPr>
                <w:b/>
                <w:sz w:val="22"/>
                <w:szCs w:val="22"/>
                <w:lang w:eastAsia="ru-RU"/>
              </w:rPr>
              <w:t>Новопсковський</w:t>
            </w:r>
            <w:proofErr w:type="spellEnd"/>
            <w:r w:rsidRPr="00E20372">
              <w:rPr>
                <w:b/>
                <w:sz w:val="22"/>
                <w:szCs w:val="22"/>
                <w:lang w:eastAsia="ru-RU"/>
              </w:rPr>
              <w:t xml:space="preserve"> район, с. </w:t>
            </w:r>
            <w:proofErr w:type="spellStart"/>
            <w:r w:rsidRPr="00E20372">
              <w:rPr>
                <w:b/>
                <w:sz w:val="22"/>
                <w:szCs w:val="22"/>
                <w:lang w:eastAsia="ru-RU"/>
              </w:rPr>
              <w:t>Танюшівка</w:t>
            </w:r>
            <w:proofErr w:type="spellEnd"/>
          </w:p>
        </w:tc>
      </w:tr>
      <w:tr w:rsidR="007F07DE" w:rsidRPr="00E20372" w:rsidTr="00FD2DB3">
        <w:tc>
          <w:tcPr>
            <w:tcW w:w="567" w:type="dxa"/>
            <w:vMerge/>
            <w:vAlign w:val="center"/>
          </w:tcPr>
          <w:p w:rsidR="007F07DE" w:rsidRPr="00E20372" w:rsidRDefault="007F07DE" w:rsidP="006E2C7A">
            <w:pPr>
              <w:pStyle w:val="a3"/>
              <w:tabs>
                <w:tab w:val="left" w:pos="851"/>
              </w:tabs>
              <w:contextualSpacing/>
              <w:jc w:val="center"/>
              <w:rPr>
                <w:b/>
                <w:sz w:val="22"/>
                <w:szCs w:val="22"/>
                <w:lang w:eastAsia="ru-RU"/>
              </w:rPr>
            </w:pPr>
          </w:p>
        </w:tc>
        <w:tc>
          <w:tcPr>
            <w:tcW w:w="2268" w:type="dxa"/>
            <w:vAlign w:val="center"/>
          </w:tcPr>
          <w:p w:rsidR="007F07DE" w:rsidRPr="00E20372" w:rsidRDefault="007F07DE" w:rsidP="006E2C7A">
            <w:pPr>
              <w:spacing w:line="240" w:lineRule="auto"/>
              <w:jc w:val="center"/>
              <w:rPr>
                <w:rFonts w:ascii="Times New Roman" w:hAnsi="Times New Roman" w:cs="Times New Roman"/>
              </w:rPr>
            </w:pPr>
            <w:r w:rsidRPr="00E20372">
              <w:rPr>
                <w:rFonts w:ascii="Times New Roman" w:hAnsi="Times New Roman" w:cs="Times New Roman"/>
                <w:b/>
              </w:rPr>
              <w:t>62Z2725270483988</w:t>
            </w:r>
          </w:p>
        </w:tc>
        <w:tc>
          <w:tcPr>
            <w:tcW w:w="2127" w:type="dxa"/>
            <w:vMerge/>
          </w:tcPr>
          <w:p w:rsidR="007F07DE" w:rsidRPr="00E20372" w:rsidRDefault="007F07DE" w:rsidP="006E2C7A">
            <w:pPr>
              <w:pStyle w:val="a3"/>
              <w:tabs>
                <w:tab w:val="left" w:pos="851"/>
              </w:tabs>
              <w:contextualSpacing/>
              <w:jc w:val="center"/>
              <w:rPr>
                <w:b/>
                <w:sz w:val="22"/>
                <w:szCs w:val="22"/>
                <w:lang w:eastAsia="ru-RU"/>
              </w:rPr>
            </w:pPr>
          </w:p>
        </w:tc>
        <w:tc>
          <w:tcPr>
            <w:tcW w:w="1134" w:type="dxa"/>
            <w:vMerge/>
            <w:tcBorders>
              <w:righ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p>
        </w:tc>
        <w:tc>
          <w:tcPr>
            <w:tcW w:w="1275" w:type="dxa"/>
            <w:vMerge/>
            <w:tcBorders>
              <w:lef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p>
        </w:tc>
        <w:tc>
          <w:tcPr>
            <w:tcW w:w="2375" w:type="dxa"/>
          </w:tcPr>
          <w:p w:rsidR="007F07DE" w:rsidRPr="00E20372" w:rsidRDefault="007F07DE" w:rsidP="006E2C7A">
            <w:pPr>
              <w:pStyle w:val="a3"/>
              <w:tabs>
                <w:tab w:val="left" w:pos="851"/>
              </w:tabs>
              <w:contextualSpacing/>
              <w:rPr>
                <w:b/>
                <w:sz w:val="22"/>
                <w:szCs w:val="22"/>
                <w:lang w:eastAsia="ru-RU"/>
              </w:rPr>
            </w:pPr>
            <w:r w:rsidRPr="00E20372">
              <w:rPr>
                <w:b/>
                <w:sz w:val="22"/>
                <w:szCs w:val="22"/>
                <w:lang w:eastAsia="ru-RU"/>
              </w:rPr>
              <w:t xml:space="preserve">Об’єкт інфраструктури Східної митниці Держмитслужби за адресою: 92310, Луганська область, </w:t>
            </w:r>
            <w:proofErr w:type="spellStart"/>
            <w:r w:rsidRPr="00E20372">
              <w:rPr>
                <w:b/>
                <w:sz w:val="22"/>
                <w:szCs w:val="22"/>
                <w:lang w:eastAsia="ru-RU"/>
              </w:rPr>
              <w:t>Новопсковський</w:t>
            </w:r>
            <w:proofErr w:type="spellEnd"/>
            <w:r w:rsidRPr="00E20372">
              <w:rPr>
                <w:b/>
                <w:sz w:val="22"/>
                <w:szCs w:val="22"/>
                <w:lang w:eastAsia="ru-RU"/>
              </w:rPr>
              <w:t xml:space="preserve"> район,с. </w:t>
            </w:r>
            <w:proofErr w:type="spellStart"/>
            <w:r w:rsidRPr="00E20372">
              <w:rPr>
                <w:b/>
                <w:sz w:val="22"/>
                <w:szCs w:val="22"/>
                <w:lang w:eastAsia="ru-RU"/>
              </w:rPr>
              <w:t>Новобіла</w:t>
            </w:r>
            <w:proofErr w:type="spellEnd"/>
          </w:p>
        </w:tc>
      </w:tr>
      <w:tr w:rsidR="007F07DE" w:rsidRPr="00E20372" w:rsidTr="00FD2DB3">
        <w:tc>
          <w:tcPr>
            <w:tcW w:w="567" w:type="dxa"/>
            <w:tcBorders>
              <w:righ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4</w:t>
            </w:r>
          </w:p>
        </w:tc>
        <w:tc>
          <w:tcPr>
            <w:tcW w:w="2268" w:type="dxa"/>
            <w:tcBorders>
              <w:righ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62Z3682154477934</w:t>
            </w:r>
          </w:p>
        </w:tc>
        <w:tc>
          <w:tcPr>
            <w:tcW w:w="2127" w:type="dxa"/>
            <w:tcBorders>
              <w:right w:val="single" w:sz="4" w:space="0" w:color="auto"/>
            </w:tcBorders>
          </w:tcPr>
          <w:p w:rsidR="007F07DE" w:rsidRPr="00E20372" w:rsidRDefault="007F07DE" w:rsidP="006E2C7A">
            <w:pPr>
              <w:pStyle w:val="a3"/>
              <w:tabs>
                <w:tab w:val="left" w:pos="851"/>
              </w:tabs>
              <w:contextualSpacing/>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E20372" w:rsidRDefault="00E20372" w:rsidP="006E2C7A">
            <w:pPr>
              <w:pStyle w:val="a3"/>
              <w:tabs>
                <w:tab w:val="left" w:pos="851"/>
              </w:tabs>
              <w:contextualSpacing/>
              <w:jc w:val="center"/>
              <w:rPr>
                <w:b/>
                <w:sz w:val="22"/>
                <w:szCs w:val="22"/>
                <w:lang w:eastAsia="ru-RU"/>
              </w:rPr>
            </w:pPr>
          </w:p>
          <w:p w:rsidR="007F07DE" w:rsidRPr="00E20372" w:rsidRDefault="007F07DE" w:rsidP="006E2C7A">
            <w:pPr>
              <w:pStyle w:val="a3"/>
              <w:tabs>
                <w:tab w:val="left" w:pos="851"/>
              </w:tabs>
              <w:contextualSpacing/>
              <w:jc w:val="center"/>
              <w:rPr>
                <w:b/>
                <w:sz w:val="22"/>
                <w:szCs w:val="22"/>
                <w:lang w:eastAsia="ru-RU"/>
              </w:rPr>
            </w:pPr>
            <w:proofErr w:type="spellStart"/>
            <w:r w:rsidRPr="00E20372">
              <w:rPr>
                <w:b/>
                <w:sz w:val="22"/>
                <w:szCs w:val="22"/>
                <w:lang w:eastAsia="ru-RU"/>
              </w:rPr>
              <w:t>Сватівський</w:t>
            </w:r>
            <w:proofErr w:type="spellEnd"/>
            <w:r w:rsidRPr="00E20372">
              <w:rPr>
                <w:b/>
                <w:sz w:val="22"/>
                <w:szCs w:val="22"/>
                <w:lang w:eastAsia="ru-RU"/>
              </w:rPr>
              <w:t xml:space="preserve"> РЕМ </w:t>
            </w:r>
          </w:p>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ТОВ «</w:t>
            </w:r>
            <w:proofErr w:type="spellStart"/>
            <w:r w:rsidRPr="00E20372">
              <w:rPr>
                <w:b/>
                <w:sz w:val="22"/>
                <w:szCs w:val="22"/>
                <w:lang w:eastAsia="ru-RU"/>
              </w:rPr>
              <w:t>ЛЕО</w:t>
            </w:r>
            <w:proofErr w:type="spellEnd"/>
            <w:r w:rsidRPr="00E20372">
              <w:rPr>
                <w:b/>
                <w:sz w:val="22"/>
                <w:szCs w:val="22"/>
                <w:lang w:eastAsia="ru-RU"/>
              </w:rPr>
              <w:t>»</w:t>
            </w:r>
          </w:p>
        </w:tc>
        <w:tc>
          <w:tcPr>
            <w:tcW w:w="1134" w:type="dxa"/>
            <w:tcBorders>
              <w:left w:val="single" w:sz="4" w:space="0" w:color="auto"/>
              <w:righ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4000</w:t>
            </w:r>
          </w:p>
        </w:tc>
        <w:tc>
          <w:tcPr>
            <w:tcW w:w="1275" w:type="dxa"/>
            <w:tcBorders>
              <w:left w:val="single" w:sz="4" w:space="0" w:color="auto"/>
              <w:bottom w:val="single" w:sz="4" w:space="0" w:color="auto"/>
              <w:right w:val="single" w:sz="4" w:space="0" w:color="auto"/>
            </w:tcBorders>
            <w:vAlign w:val="center"/>
          </w:tcPr>
          <w:p w:rsidR="007F07DE" w:rsidRPr="00E20372" w:rsidRDefault="007F07DE" w:rsidP="006E2C7A">
            <w:pPr>
              <w:pStyle w:val="a3"/>
              <w:tabs>
                <w:tab w:val="left" w:pos="851"/>
              </w:tabs>
              <w:contextualSpacing/>
              <w:jc w:val="center"/>
              <w:rPr>
                <w:b/>
                <w:sz w:val="22"/>
                <w:szCs w:val="22"/>
                <w:lang w:eastAsia="ru-RU"/>
              </w:rPr>
            </w:pPr>
            <w:r w:rsidRPr="00E20372">
              <w:rPr>
                <w:b/>
                <w:sz w:val="22"/>
                <w:szCs w:val="22"/>
                <w:lang w:eastAsia="ru-RU"/>
              </w:rPr>
              <w:t>7180,70</w:t>
            </w:r>
          </w:p>
        </w:tc>
        <w:tc>
          <w:tcPr>
            <w:tcW w:w="2375" w:type="dxa"/>
            <w:tcBorders>
              <w:left w:val="single" w:sz="4" w:space="0" w:color="auto"/>
            </w:tcBorders>
          </w:tcPr>
          <w:p w:rsidR="007F07DE" w:rsidRPr="00E20372" w:rsidRDefault="007F07DE" w:rsidP="006E2C7A">
            <w:pPr>
              <w:pStyle w:val="a3"/>
              <w:tabs>
                <w:tab w:val="left" w:pos="851"/>
              </w:tabs>
              <w:contextualSpacing/>
              <w:rPr>
                <w:b/>
                <w:sz w:val="22"/>
                <w:szCs w:val="22"/>
                <w:lang w:eastAsia="ru-RU"/>
              </w:rPr>
            </w:pPr>
            <w:r w:rsidRPr="00E20372">
              <w:rPr>
                <w:b/>
                <w:sz w:val="22"/>
                <w:szCs w:val="22"/>
                <w:lang w:eastAsia="ru-RU"/>
              </w:rPr>
              <w:t xml:space="preserve">Об’єкт інфраструктури Східної митниці Держмитслужби за адресою: 92110, Луганська область, Троїцький район, </w:t>
            </w:r>
            <w:proofErr w:type="spellStart"/>
            <w:r w:rsidRPr="00E20372">
              <w:rPr>
                <w:b/>
                <w:sz w:val="22"/>
                <w:szCs w:val="22"/>
                <w:lang w:eastAsia="ru-RU"/>
              </w:rPr>
              <w:t>с.Демино-Олександрівка</w:t>
            </w:r>
            <w:proofErr w:type="spellEnd"/>
          </w:p>
        </w:tc>
      </w:tr>
      <w:tr w:rsidR="007F07DE" w:rsidRPr="00E20372" w:rsidTr="00FD2D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567" w:type="dxa"/>
          </w:tcPr>
          <w:p w:rsidR="007F07DE" w:rsidRPr="00E20372" w:rsidRDefault="007F07DE" w:rsidP="006E2C7A">
            <w:pPr>
              <w:pStyle w:val="a3"/>
              <w:tabs>
                <w:tab w:val="left" w:pos="709"/>
              </w:tabs>
              <w:contextualSpacing/>
              <w:rPr>
                <w:b/>
                <w:sz w:val="22"/>
                <w:szCs w:val="22"/>
                <w:lang w:eastAsia="ru-RU"/>
              </w:rPr>
            </w:pPr>
          </w:p>
        </w:tc>
        <w:tc>
          <w:tcPr>
            <w:tcW w:w="2268" w:type="dxa"/>
          </w:tcPr>
          <w:p w:rsidR="007F07DE" w:rsidRPr="00E20372" w:rsidRDefault="007F07DE" w:rsidP="006E2C7A">
            <w:pPr>
              <w:pStyle w:val="a3"/>
              <w:tabs>
                <w:tab w:val="left" w:pos="709"/>
              </w:tabs>
              <w:contextualSpacing/>
              <w:jc w:val="center"/>
              <w:rPr>
                <w:b/>
                <w:sz w:val="22"/>
                <w:szCs w:val="22"/>
                <w:lang w:eastAsia="ru-RU"/>
              </w:rPr>
            </w:pPr>
            <w:r w:rsidRPr="00E20372">
              <w:rPr>
                <w:b/>
                <w:sz w:val="22"/>
                <w:szCs w:val="22"/>
                <w:lang w:eastAsia="ru-RU"/>
              </w:rPr>
              <w:t>Разом:</w:t>
            </w:r>
          </w:p>
        </w:tc>
        <w:tc>
          <w:tcPr>
            <w:tcW w:w="2127" w:type="dxa"/>
          </w:tcPr>
          <w:p w:rsidR="007F07DE" w:rsidRPr="00E20372" w:rsidRDefault="007F07DE" w:rsidP="006E2C7A">
            <w:pPr>
              <w:pStyle w:val="a3"/>
              <w:tabs>
                <w:tab w:val="left" w:pos="709"/>
              </w:tabs>
              <w:contextualSpacing/>
              <w:jc w:val="center"/>
              <w:rPr>
                <w:b/>
                <w:sz w:val="22"/>
                <w:szCs w:val="22"/>
                <w:lang w:eastAsia="ru-RU"/>
              </w:rPr>
            </w:pPr>
          </w:p>
        </w:tc>
        <w:tc>
          <w:tcPr>
            <w:tcW w:w="1134" w:type="dxa"/>
          </w:tcPr>
          <w:p w:rsidR="007F07DE" w:rsidRPr="00E20372" w:rsidRDefault="007F07DE" w:rsidP="006E2C7A">
            <w:pPr>
              <w:pStyle w:val="a3"/>
              <w:tabs>
                <w:tab w:val="left" w:pos="709"/>
              </w:tabs>
              <w:contextualSpacing/>
              <w:jc w:val="center"/>
              <w:rPr>
                <w:b/>
                <w:sz w:val="22"/>
                <w:szCs w:val="22"/>
                <w:lang w:eastAsia="ru-RU"/>
              </w:rPr>
            </w:pPr>
            <w:r w:rsidRPr="00E20372">
              <w:rPr>
                <w:b/>
                <w:sz w:val="22"/>
                <w:szCs w:val="22"/>
                <w:lang w:eastAsia="ru-RU"/>
              </w:rPr>
              <w:t>245947</w:t>
            </w:r>
          </w:p>
        </w:tc>
        <w:tc>
          <w:tcPr>
            <w:tcW w:w="1275" w:type="dxa"/>
          </w:tcPr>
          <w:p w:rsidR="007F07DE" w:rsidRPr="00E20372" w:rsidRDefault="007F07DE" w:rsidP="006E2C7A">
            <w:pPr>
              <w:pStyle w:val="a3"/>
              <w:tabs>
                <w:tab w:val="left" w:pos="709"/>
              </w:tabs>
              <w:contextualSpacing/>
              <w:jc w:val="center"/>
              <w:rPr>
                <w:b/>
                <w:sz w:val="22"/>
                <w:szCs w:val="22"/>
                <w:lang w:eastAsia="ru-RU"/>
              </w:rPr>
            </w:pPr>
            <w:r w:rsidRPr="00E20372">
              <w:rPr>
                <w:b/>
                <w:sz w:val="22"/>
                <w:szCs w:val="22"/>
              </w:rPr>
              <w:t>441518,14</w:t>
            </w:r>
          </w:p>
        </w:tc>
        <w:tc>
          <w:tcPr>
            <w:tcW w:w="2375" w:type="dxa"/>
          </w:tcPr>
          <w:p w:rsidR="007F07DE" w:rsidRPr="00E20372" w:rsidRDefault="007F07DE" w:rsidP="006E2C7A">
            <w:pPr>
              <w:pStyle w:val="a3"/>
              <w:tabs>
                <w:tab w:val="left" w:pos="709"/>
              </w:tabs>
              <w:contextualSpacing/>
              <w:rPr>
                <w:sz w:val="22"/>
                <w:szCs w:val="22"/>
                <w:lang w:eastAsia="ru-RU"/>
              </w:rPr>
            </w:pPr>
          </w:p>
        </w:tc>
      </w:tr>
    </w:tbl>
    <w:p w:rsidR="00DB46CE" w:rsidRPr="00E20372" w:rsidRDefault="00DB46CE" w:rsidP="006E2C7A">
      <w:pPr>
        <w:pStyle w:val="a5"/>
        <w:tabs>
          <w:tab w:val="left" w:pos="284"/>
        </w:tabs>
        <w:spacing w:after="0" w:line="240" w:lineRule="auto"/>
        <w:ind w:left="0"/>
        <w:jc w:val="both"/>
        <w:rPr>
          <w:rFonts w:ascii="Times New Roman" w:hAnsi="Times New Roman" w:cs="Times New Roman"/>
          <w:b/>
          <w:sz w:val="28"/>
          <w:szCs w:val="28"/>
        </w:rPr>
      </w:pPr>
    </w:p>
    <w:p w:rsidR="00E20372" w:rsidRPr="00E20372" w:rsidRDefault="00F73804" w:rsidP="00E20372">
      <w:pPr>
        <w:pStyle w:val="a5"/>
        <w:tabs>
          <w:tab w:val="left" w:pos="284"/>
        </w:tabs>
        <w:spacing w:after="0" w:line="240" w:lineRule="auto"/>
        <w:ind w:left="0"/>
        <w:jc w:val="both"/>
        <w:rPr>
          <w:rFonts w:ascii="Times New Roman" w:eastAsia="Times New Roman" w:hAnsi="Times New Roman" w:cs="Times New Roman"/>
          <w:sz w:val="24"/>
          <w:szCs w:val="24"/>
          <w:lang w:eastAsia="ru-RU"/>
        </w:rPr>
      </w:pPr>
      <w:r w:rsidRPr="00E20372">
        <w:rPr>
          <w:rFonts w:ascii="Times New Roman" w:hAnsi="Times New Roman" w:cs="Times New Roman"/>
          <w:b/>
          <w:sz w:val="28"/>
          <w:szCs w:val="28"/>
        </w:rPr>
        <w:t>Строк поставки товарів:</w:t>
      </w:r>
      <w:r w:rsidRPr="00E20372">
        <w:rPr>
          <w:rFonts w:ascii="Times New Roman" w:hAnsi="Times New Roman" w:cs="Times New Roman"/>
          <w:sz w:val="28"/>
          <w:szCs w:val="28"/>
        </w:rPr>
        <w:t xml:space="preserve">  </w:t>
      </w:r>
      <w:r w:rsidRPr="00E20372">
        <w:rPr>
          <w:rFonts w:ascii="Times New Roman" w:hAnsi="Times New Roman" w:cs="Times New Roman"/>
          <w:bCs/>
          <w:sz w:val="28"/>
          <w:szCs w:val="28"/>
        </w:rPr>
        <w:t>з дати укладання договору до 31.12.2021 року включно.</w:t>
      </w:r>
      <w:r w:rsidR="00DB46CE" w:rsidRPr="00E20372">
        <w:rPr>
          <w:rFonts w:ascii="Times New Roman" w:eastAsia="Times New Roman" w:hAnsi="Times New Roman" w:cs="Times New Roman"/>
          <w:sz w:val="24"/>
          <w:szCs w:val="24"/>
          <w:lang w:eastAsia="ru-RU"/>
        </w:rPr>
        <w:t xml:space="preserve"> </w:t>
      </w:r>
    </w:p>
    <w:p w:rsidR="007F07DE" w:rsidRPr="00E20372" w:rsidRDefault="007F07DE" w:rsidP="006E2C7A">
      <w:pPr>
        <w:spacing w:line="240" w:lineRule="auto"/>
        <w:jc w:val="both"/>
        <w:rPr>
          <w:rFonts w:ascii="Times New Roman" w:hAnsi="Times New Roman" w:cs="Times New Roman"/>
          <w:b/>
          <w:sz w:val="28"/>
          <w:szCs w:val="28"/>
          <w:lang w:val="en-US" w:bidi="uk-UA"/>
        </w:rPr>
      </w:pPr>
      <w:r w:rsidRPr="00E20372">
        <w:rPr>
          <w:rFonts w:ascii="Times New Roman" w:hAnsi="Times New Roman" w:cs="Times New Roman"/>
          <w:b/>
          <w:sz w:val="28"/>
          <w:szCs w:val="28"/>
          <w:lang w:bidi="uk-UA"/>
        </w:rPr>
        <w:t xml:space="preserve">Найменування учасника: </w:t>
      </w:r>
      <w:r w:rsidRPr="00E20372">
        <w:rPr>
          <w:rFonts w:ascii="Times New Roman" w:hAnsi="Times New Roman" w:cs="Times New Roman"/>
          <w:sz w:val="28"/>
          <w:szCs w:val="28"/>
          <w:lang w:bidi="uk-UA"/>
        </w:rPr>
        <w:t>Товариство з обмеженою відповідальністю «Луганське енергетичне об’єднання»</w:t>
      </w:r>
      <w:r w:rsidRPr="00E20372">
        <w:rPr>
          <w:rFonts w:ascii="Times New Roman" w:hAnsi="Times New Roman" w:cs="Times New Roman"/>
          <w:b/>
          <w:sz w:val="28"/>
          <w:szCs w:val="28"/>
          <w:lang w:bidi="uk-UA"/>
        </w:rPr>
        <w:t xml:space="preserve"> </w:t>
      </w:r>
      <w:r w:rsidR="00E20372" w:rsidRPr="00E20372">
        <w:rPr>
          <w:rFonts w:ascii="Times New Roman" w:hAnsi="Times New Roman" w:cs="Times New Roman"/>
          <w:sz w:val="28"/>
          <w:szCs w:val="28"/>
          <w:lang w:val="en-US" w:bidi="uk-UA"/>
        </w:rPr>
        <w:t>(</w:t>
      </w:r>
      <w:r w:rsidR="00E20372" w:rsidRPr="00E20372">
        <w:rPr>
          <w:rFonts w:ascii="Times New Roman" w:hAnsi="Times New Roman" w:cs="Times New Roman"/>
          <w:sz w:val="28"/>
          <w:szCs w:val="28"/>
          <w:lang w:bidi="uk-UA"/>
        </w:rPr>
        <w:t>код ЄДРПОУ- 31443937</w:t>
      </w:r>
      <w:r w:rsidR="00E20372" w:rsidRPr="00E20372">
        <w:rPr>
          <w:rFonts w:ascii="Times New Roman" w:hAnsi="Times New Roman" w:cs="Times New Roman"/>
          <w:sz w:val="28"/>
          <w:szCs w:val="28"/>
          <w:lang w:val="en-US" w:bidi="uk-UA"/>
        </w:rPr>
        <w:t>)</w:t>
      </w:r>
    </w:p>
    <w:p w:rsidR="006E2C7A" w:rsidRPr="00E20372" w:rsidRDefault="006E2C7A" w:rsidP="006E2C7A">
      <w:pPr>
        <w:spacing w:line="240" w:lineRule="auto"/>
        <w:jc w:val="both"/>
        <w:rPr>
          <w:rFonts w:ascii="Times New Roman" w:hAnsi="Times New Roman" w:cs="Times New Roman"/>
          <w:b/>
          <w:sz w:val="28"/>
          <w:szCs w:val="28"/>
          <w:lang w:bidi="uk-UA"/>
        </w:rPr>
      </w:pPr>
      <w:r w:rsidRPr="00E20372">
        <w:rPr>
          <w:rFonts w:ascii="Times New Roman" w:hAnsi="Times New Roman" w:cs="Times New Roman"/>
          <w:b/>
          <w:sz w:val="28"/>
          <w:szCs w:val="28"/>
          <w:lang w:bidi="uk-UA"/>
        </w:rPr>
        <w:t>Обґрунтування застосування переговорної процедури закупівлі:</w:t>
      </w:r>
    </w:p>
    <w:p w:rsidR="006E2C7A" w:rsidRPr="00E20372" w:rsidRDefault="006E2C7A" w:rsidP="006E2C7A">
      <w:pPr>
        <w:spacing w:line="240" w:lineRule="auto"/>
        <w:ind w:firstLine="708"/>
        <w:jc w:val="both"/>
        <w:rPr>
          <w:rFonts w:ascii="Times New Roman" w:hAnsi="Times New Roman" w:cs="Times New Roman"/>
          <w:b/>
          <w:sz w:val="28"/>
          <w:szCs w:val="28"/>
          <w:lang w:bidi="uk-UA"/>
        </w:rPr>
      </w:pPr>
      <w:r w:rsidRPr="00E20372">
        <w:rPr>
          <w:rFonts w:ascii="Times New Roman" w:hAnsi="Times New Roman" w:cs="Times New Roman"/>
          <w:sz w:val="28"/>
          <w:szCs w:val="28"/>
        </w:rPr>
        <w:t xml:space="preserve">На сьогоднішній день, у зв’язку з введенням у дію Закону України "Про ринок електричної енергії" від 13.04.2017 № 2019-VIII (зі змінами) (далі – </w:t>
      </w:r>
      <w:r w:rsidRPr="00E20372">
        <w:rPr>
          <w:rFonts w:ascii="Times New Roman" w:hAnsi="Times New Roman" w:cs="Times New Roman"/>
          <w:b/>
          <w:i/>
          <w:sz w:val="28"/>
          <w:szCs w:val="28"/>
        </w:rPr>
        <w:t>Закон № 2019-VIII</w:t>
      </w:r>
      <w:r w:rsidRPr="00E20372">
        <w:rPr>
          <w:rFonts w:ascii="Times New Roman" w:hAnsi="Times New Roman" w:cs="Times New Roman"/>
          <w:sz w:val="28"/>
          <w:szCs w:val="28"/>
        </w:rPr>
        <w:t>) існує необхідність в укладанні окремих договорів на постачання і розподіл електричної енергії.</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color w:val="000000"/>
          <w:sz w:val="28"/>
          <w:szCs w:val="28"/>
        </w:rPr>
      </w:pPr>
      <w:r w:rsidRPr="00E20372">
        <w:rPr>
          <w:rFonts w:ascii="Times New Roman" w:hAnsi="Times New Roman" w:cs="Times New Roman"/>
          <w:sz w:val="28"/>
          <w:szCs w:val="28"/>
        </w:rPr>
        <w:t xml:space="preserve">Відповідно до </w:t>
      </w:r>
      <w:r w:rsidRPr="00E20372">
        <w:rPr>
          <w:rFonts w:ascii="Times New Roman" w:hAnsi="Times New Roman" w:cs="Times New Roman"/>
          <w:b/>
          <w:i/>
          <w:sz w:val="28"/>
          <w:szCs w:val="28"/>
        </w:rPr>
        <w:t>Закону № 2019-VIII</w:t>
      </w:r>
      <w:r w:rsidRPr="00E20372">
        <w:rPr>
          <w:rFonts w:ascii="Times New Roman" w:hAnsi="Times New Roman" w:cs="Times New Roman"/>
          <w:b/>
          <w:sz w:val="28"/>
          <w:szCs w:val="28"/>
        </w:rPr>
        <w:t xml:space="preserve"> -</w:t>
      </w:r>
      <w:r w:rsidRPr="00E20372">
        <w:rPr>
          <w:rFonts w:ascii="Times New Roman" w:hAnsi="Times New Roman" w:cs="Times New Roman"/>
          <w:sz w:val="28"/>
          <w:szCs w:val="28"/>
        </w:rPr>
        <w:t xml:space="preserve"> розподіл електричної енергії –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(ОСР), крім постачання електричної енергії. Послуги з розподілу електричної енергії надають оператори систем розподілу (суб’єкти природних монополій) за тарифами, які встановлюються НКРЕКП. Господарська діяльність з розподілу (передачі) електричної енергії споживачу провадиться на ринку електричної енергії за </w:t>
      </w:r>
      <w:r w:rsidRPr="00E20372">
        <w:rPr>
          <w:rFonts w:ascii="Times New Roman" w:hAnsi="Times New Roman" w:cs="Times New Roman"/>
          <w:sz w:val="28"/>
          <w:szCs w:val="28"/>
        </w:rPr>
        <w:lastRenderedPageBreak/>
        <w:t>умови отримання відповідної ліцензії. Ліцензія видається Національною комісією, що здійснює державне регулювання у сферах енергетики та комунальних послуг. Національна комісії, що здійснює державне регулювання у сфері енергетики та комунальних послуг своєю постановою «</w:t>
      </w:r>
      <w:r w:rsidRPr="00E20372">
        <w:rPr>
          <w:rFonts w:ascii="Times New Roman" w:hAnsi="Times New Roman" w:cs="Times New Roman"/>
          <w:b/>
          <w:bCs/>
          <w:color w:val="000000"/>
          <w:sz w:val="28"/>
          <w:szCs w:val="28"/>
        </w:rPr>
        <w:t>Щодо провадження ТОВАРИСТВОМ З ОБМЕЖЕНОЮ ВІДПОВІДАЛЬНІСТЮ «ЛУГАНСЬКЕ ЕНЕРГЕТИЧНЕ ОБ’ЄДНАННЯ» діяльності з розподілу та постачання електричної енергії на території Луганської області»</w:t>
      </w:r>
      <w:r w:rsidRPr="00E20372">
        <w:rPr>
          <w:rFonts w:ascii="Times New Roman" w:hAnsi="Times New Roman" w:cs="Times New Roman"/>
          <w:color w:val="000000"/>
          <w:sz w:val="28"/>
          <w:szCs w:val="28"/>
        </w:rPr>
        <w:t xml:space="preserve"> </w:t>
      </w:r>
      <w:r w:rsidRPr="00E20372">
        <w:rPr>
          <w:rFonts w:ascii="Times New Roman" w:hAnsi="Times New Roman" w:cs="Times New Roman"/>
          <w:sz w:val="28"/>
          <w:szCs w:val="28"/>
        </w:rPr>
        <w:t xml:space="preserve">від 30.11.2018 № 1587 постановила: </w:t>
      </w:r>
      <w:r w:rsidRPr="00E20372">
        <w:rPr>
          <w:rFonts w:ascii="Times New Roman" w:hAnsi="Times New Roman" w:cs="Times New Roman"/>
          <w:color w:val="000000"/>
          <w:sz w:val="28"/>
          <w:szCs w:val="28"/>
        </w:rPr>
        <w:t>ТОВАРИСТВУ З ОБМЕЖЕНОЮ ВІДПОВІДАЛЬНІСТЮ «ЛУГАНСЬКЕ ЕНЕРГЕТИЧНЕ ОБ’ЄДНАННЯ» (код ЄДРПОУ 31443937):</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color w:val="000000"/>
          <w:sz w:val="28"/>
          <w:szCs w:val="28"/>
        </w:rPr>
      </w:pPr>
      <w:r w:rsidRPr="00E20372">
        <w:rPr>
          <w:rFonts w:ascii="Times New Roman" w:hAnsi="Times New Roman" w:cs="Times New Roman"/>
          <w:color w:val="000000"/>
          <w:sz w:val="28"/>
          <w:szCs w:val="28"/>
        </w:rPr>
        <w:t>2) з 01 січня 2019 року та на період до завершення антитерористичної операції:</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color w:val="000000"/>
          <w:sz w:val="28"/>
          <w:szCs w:val="28"/>
        </w:rPr>
      </w:pPr>
      <w:r w:rsidRPr="00E20372">
        <w:rPr>
          <w:rFonts w:ascii="Times New Roman" w:hAnsi="Times New Roman" w:cs="Times New Roman"/>
          <w:color w:val="000000"/>
          <w:sz w:val="28"/>
          <w:szCs w:val="28"/>
        </w:rPr>
        <w:t>провадити діяльність з розподілу електричної енергії на підставі ліцензії на право провадження господарської діяльності з передачі електричної енергії місцевими (локальними) електричними мережами (виданої відповідно до постанови Національної комісії регулювання електроенергетики України від 05 грудня 2001 року № 1187), ураховуючи вимоги Закону України «Про ринок електричної енергії» та інших нормативно-правових актів, що забезпечують функціонування ринку електричної енергії (з урахуванням законодавства щодо проведення антитерористичної операції), у тому числі, але не виключно, Ліцензійних умов провадження господарської діяльності з розподілу електричної енергії, затверджених постановою Національної комісії, що здійснює державне регулювання у сферах енергетики та комунальних послуг, від 27 грудня 2017 року № 1470;</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color w:val="000000"/>
          <w:sz w:val="28"/>
          <w:szCs w:val="28"/>
        </w:rPr>
      </w:pPr>
      <w:r w:rsidRPr="00E20372">
        <w:rPr>
          <w:rFonts w:ascii="Times New Roman" w:hAnsi="Times New Roman" w:cs="Times New Roman"/>
          <w:color w:val="000000"/>
          <w:sz w:val="28"/>
          <w:szCs w:val="28"/>
        </w:rPr>
        <w:t>надавати послуги з розподілу електричної енергії за встановленими рішенням НКРЕКП тарифами з розподілу електричної енергії відповідно до Порядку встановлення (формування) тарифів на послуги з розподілу електричної енергії, затвердженого  постановою НКРЕКП від 05 жовтня 2018 року № 1175, із дотриманням визначених напрямків та обсягів використання коштів за статтями витрат структур тарифів;</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color w:val="000000"/>
          <w:sz w:val="28"/>
          <w:szCs w:val="28"/>
        </w:rPr>
      </w:pPr>
      <w:r w:rsidRPr="00E20372">
        <w:rPr>
          <w:rFonts w:ascii="Times New Roman" w:hAnsi="Times New Roman" w:cs="Times New Roman"/>
          <w:color w:val="000000"/>
          <w:sz w:val="28"/>
          <w:szCs w:val="28"/>
        </w:rPr>
        <w:t>виконувати, у разі  схвалення постановою НКРЕКП, інвестиційну програму та заходи з ремонтів основних фондів у повному обсязі відповідно до запланованих етапів, обсягів робіт у кількісному вираженні та згідно з передбаченими відповідною статтею структури тарифу обсягами фінансування.</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 xml:space="preserve">На офіційному веб-сайті НКРЕКП </w:t>
      </w:r>
      <w:hyperlink r:id="rId5" w:history="1">
        <w:r w:rsidRPr="00E20372">
          <w:rPr>
            <w:rStyle w:val="ac"/>
            <w:rFonts w:ascii="Times New Roman" w:hAnsi="Times New Roman"/>
            <w:sz w:val="28"/>
            <w:szCs w:val="28"/>
          </w:rPr>
          <w:t>www.nerc.gov.ua</w:t>
        </w:r>
      </w:hyperlink>
      <w:r w:rsidRPr="00E20372">
        <w:rPr>
          <w:rFonts w:ascii="Times New Roman" w:hAnsi="Times New Roman" w:cs="Times New Roman"/>
          <w:sz w:val="28"/>
          <w:szCs w:val="28"/>
        </w:rPr>
        <w:t xml:space="preserve"> у розділі: Головна сторінка/Ліцензування (</w:t>
      </w:r>
      <w:proofErr w:type="spellStart"/>
      <w:r w:rsidRPr="00E20372">
        <w:rPr>
          <w:rFonts w:ascii="Times New Roman" w:hAnsi="Times New Roman" w:cs="Times New Roman"/>
          <w:sz w:val="28"/>
          <w:szCs w:val="28"/>
        </w:rPr>
        <w:t>адмінпослуги</w:t>
      </w:r>
      <w:proofErr w:type="spellEnd"/>
      <w:r w:rsidRPr="00E20372">
        <w:rPr>
          <w:rFonts w:ascii="Times New Roman" w:hAnsi="Times New Roman" w:cs="Times New Roman"/>
          <w:sz w:val="28"/>
          <w:szCs w:val="28"/>
        </w:rPr>
        <w:t xml:space="preserve">)/Реєстри НКРЕКП / Реєстри суб’єктів природних монополій НКРЕКП/ Реєстр суб’єктів природних монополій у сфері енергетики - розміщено «Реєстр суб’єктів природних монополій, які провадять господарську діяльність у сфері енергетики, станом на 31.01.2021». Згідно даного реєстру  ТОВ «Луганське енергетичне об’єднання» (порядковий №84) є суб’єктом природних монополій, та проводить свою господарську діяльність щодо розподілу електричної енергії на території Луганської області відповідно до постанови НКРЕКП від 03.08.2005 №596 та постанови НКРЕКП від 30.11.2018 №1587. </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 xml:space="preserve">Окрім цього, відповідно до статті 5 Закону України «По природні монополії» від 20.04.2000 №1682-ІІІ розподіл електричної енергії віднесений до сфери діяльності суб’єктів природних монополій, при цьому Зведений перелік </w:t>
      </w:r>
      <w:r w:rsidRPr="00E20372">
        <w:rPr>
          <w:rFonts w:ascii="Times New Roman" w:hAnsi="Times New Roman" w:cs="Times New Roman"/>
          <w:sz w:val="28"/>
          <w:szCs w:val="28"/>
        </w:rPr>
        <w:lastRenderedPageBreak/>
        <w:t xml:space="preserve">суб'єктів природних монополій ведеться Антимонопольним комітетом України (розпорядження АМКУ від 28.11.2012 №874-р)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(постанова НКРЕКП від 19.10.2017 №1268). </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На офіційному веб-сайті АМКУ</w:t>
      </w:r>
      <w:r w:rsidRPr="00E20372">
        <w:rPr>
          <w:rFonts w:ascii="Times New Roman" w:hAnsi="Times New Roman" w:cs="Times New Roman"/>
          <w:sz w:val="28"/>
          <w:szCs w:val="28"/>
          <w:lang w:val="ru-RU"/>
        </w:rPr>
        <w:t xml:space="preserve"> </w:t>
      </w:r>
      <w:proofErr w:type="spellStart"/>
      <w:r w:rsidRPr="00E20372">
        <w:rPr>
          <w:rFonts w:ascii="Times New Roman" w:hAnsi="Times New Roman" w:cs="Times New Roman"/>
          <w:sz w:val="28"/>
          <w:szCs w:val="28"/>
          <w:u w:val="single"/>
        </w:rPr>
        <w:t>www</w:t>
      </w:r>
      <w:proofErr w:type="spellEnd"/>
      <w:r w:rsidRPr="00E20372">
        <w:rPr>
          <w:rFonts w:ascii="Times New Roman" w:hAnsi="Times New Roman" w:cs="Times New Roman"/>
          <w:sz w:val="28"/>
          <w:szCs w:val="28"/>
          <w:u w:val="single"/>
        </w:rPr>
        <w:t>.</w:t>
      </w:r>
      <w:proofErr w:type="spellStart"/>
      <w:r w:rsidRPr="00E20372">
        <w:rPr>
          <w:rFonts w:ascii="Times New Roman" w:hAnsi="Times New Roman" w:cs="Times New Roman"/>
          <w:sz w:val="28"/>
          <w:szCs w:val="28"/>
          <w:u w:val="single"/>
          <w:lang w:val="en-US"/>
        </w:rPr>
        <w:t>amcu</w:t>
      </w:r>
      <w:proofErr w:type="spellEnd"/>
      <w:r w:rsidRPr="00E20372">
        <w:rPr>
          <w:rFonts w:ascii="Times New Roman" w:hAnsi="Times New Roman" w:cs="Times New Roman"/>
          <w:sz w:val="28"/>
          <w:szCs w:val="28"/>
          <w:u w:val="single"/>
          <w:lang w:val="ru-RU"/>
        </w:rPr>
        <w:t>.</w:t>
      </w:r>
      <w:proofErr w:type="spellStart"/>
      <w:r w:rsidRPr="00E20372">
        <w:rPr>
          <w:rFonts w:ascii="Times New Roman" w:hAnsi="Times New Roman" w:cs="Times New Roman"/>
          <w:sz w:val="28"/>
          <w:szCs w:val="28"/>
          <w:u w:val="single"/>
          <w:lang w:val="en-US"/>
        </w:rPr>
        <w:t>gov</w:t>
      </w:r>
      <w:proofErr w:type="spellEnd"/>
      <w:r w:rsidRPr="00E20372">
        <w:rPr>
          <w:rFonts w:ascii="Times New Roman" w:hAnsi="Times New Roman" w:cs="Times New Roman"/>
          <w:sz w:val="28"/>
          <w:szCs w:val="28"/>
          <w:u w:val="single"/>
          <w:lang w:val="ru-RU"/>
        </w:rPr>
        <w:t>.</w:t>
      </w:r>
      <w:proofErr w:type="spellStart"/>
      <w:r w:rsidRPr="00E20372">
        <w:rPr>
          <w:rFonts w:ascii="Times New Roman" w:hAnsi="Times New Roman" w:cs="Times New Roman"/>
          <w:sz w:val="28"/>
          <w:szCs w:val="28"/>
          <w:u w:val="single"/>
          <w:lang w:val="en-US"/>
        </w:rPr>
        <w:t>ua</w:t>
      </w:r>
      <w:proofErr w:type="spellEnd"/>
      <w:r w:rsidRPr="00E20372">
        <w:rPr>
          <w:rFonts w:ascii="Times New Roman" w:hAnsi="Times New Roman" w:cs="Times New Roman"/>
          <w:sz w:val="28"/>
          <w:szCs w:val="28"/>
        </w:rPr>
        <w:t xml:space="preserve"> у розділі Напрями/Конкуренція/Зведений перелік природних монополій – розміщено «Зведений перелік суб’єктів природних монополій, станом на 31.12.2020».</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Згідно Зведеного переліку суб’єктів природних монополій ТОВ «Луганське енергетичне об’єднання» (порядковий №84) є суб’єктом природних монополій, та проводить свою господарську діяльність щодо розподілу електричної енергії на території Луганської області.</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Враховуючи вищевикладене Товариство з обмеженою відповідальністю «Луганське енергетичне об’єднання» (ТОВ «</w:t>
      </w:r>
      <w:proofErr w:type="spellStart"/>
      <w:r w:rsidRPr="00E20372">
        <w:rPr>
          <w:rFonts w:ascii="Times New Roman" w:hAnsi="Times New Roman" w:cs="Times New Roman"/>
          <w:sz w:val="28"/>
          <w:szCs w:val="28"/>
        </w:rPr>
        <w:t>ЛЕО</w:t>
      </w:r>
      <w:proofErr w:type="spellEnd"/>
      <w:r w:rsidRPr="00E20372">
        <w:rPr>
          <w:rFonts w:ascii="Times New Roman" w:hAnsi="Times New Roman" w:cs="Times New Roman"/>
          <w:sz w:val="28"/>
          <w:szCs w:val="28"/>
        </w:rPr>
        <w:t>»), код ЄРДПОУ 31443937 є суб’єктом природної монополії з розподілу електричної енергії (передачі електричної енергії місцевими (локальними) електричними мережами) в межах території Луганської області, що підтверджується даними з офіційного сайту НКРЕКП та сайту Антимонопольного комітету України.</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b/>
          <w:sz w:val="28"/>
          <w:szCs w:val="28"/>
        </w:rPr>
      </w:pPr>
      <w:r w:rsidRPr="00E20372">
        <w:rPr>
          <w:rFonts w:ascii="Times New Roman" w:hAnsi="Times New Roman" w:cs="Times New Roman"/>
          <w:sz w:val="28"/>
          <w:szCs w:val="28"/>
        </w:rPr>
        <w:t>Враховуючи те, що ТОВ «Луганське енергетичне об’єднання» займає монопольне становище на ринку розподілу електричної енергії місцевими (локальними) електричними мережами на території Луганської області та не має конкурентів на ринку надання послуг з розподілу електричної енергії установам та організаціям, які фінансуються з державного і місцевих бюджетів, а об’єкти інфраструктури Східної митниці Держмитслужби відповідно до актів розмежування балансової належності електромереж та експлуатаційної відповідальності сторін мають підключення до мереж та обладнання, яке належить ТОВ «</w:t>
      </w:r>
      <w:proofErr w:type="spellStart"/>
      <w:r w:rsidRPr="00E20372">
        <w:rPr>
          <w:rFonts w:ascii="Times New Roman" w:hAnsi="Times New Roman" w:cs="Times New Roman"/>
          <w:sz w:val="28"/>
          <w:szCs w:val="28"/>
        </w:rPr>
        <w:t>ЛЕО</w:t>
      </w:r>
      <w:proofErr w:type="spellEnd"/>
      <w:r w:rsidRPr="00E20372">
        <w:rPr>
          <w:rFonts w:ascii="Times New Roman" w:hAnsi="Times New Roman" w:cs="Times New Roman"/>
          <w:sz w:val="28"/>
          <w:szCs w:val="28"/>
        </w:rPr>
        <w:t>» - у тендерного комітету Луганської митниці є законна підстава щодо застосування переговорної процедури закупівлі відповідно до пункту 2 частини 2 статті 40 Закону України «Про публічні закупівлі»</w:t>
      </w:r>
      <w:r w:rsidRPr="00E20372">
        <w:rPr>
          <w:rFonts w:ascii="Times New Roman" w:hAnsi="Times New Roman" w:cs="Times New Roman"/>
          <w:b/>
          <w:i/>
          <w:sz w:val="28"/>
          <w:szCs w:val="28"/>
        </w:rPr>
        <w:t xml:space="preserve"> </w:t>
      </w:r>
      <w:r w:rsidRPr="00E20372">
        <w:rPr>
          <w:rFonts w:ascii="Times New Roman" w:hAnsi="Times New Roman" w:cs="Times New Roman"/>
          <w:sz w:val="28"/>
          <w:szCs w:val="28"/>
        </w:rPr>
        <w:t xml:space="preserve">від 25.12.2015 року </w:t>
      </w:r>
      <w:r w:rsidRPr="00E20372">
        <w:rPr>
          <w:rStyle w:val="rvts44"/>
          <w:rFonts w:ascii="Times New Roman" w:hAnsi="Times New Roman"/>
          <w:bCs/>
          <w:color w:val="000000"/>
          <w:sz w:val="28"/>
          <w:szCs w:val="28"/>
          <w:bdr w:val="none" w:sz="0" w:space="0" w:color="auto" w:frame="1"/>
        </w:rPr>
        <w:t>№ 922-VIII</w:t>
      </w:r>
      <w:r w:rsidRPr="00E20372">
        <w:rPr>
          <w:rFonts w:ascii="Times New Roman" w:hAnsi="Times New Roman" w:cs="Times New Roman"/>
          <w:b/>
          <w:i/>
          <w:sz w:val="28"/>
          <w:szCs w:val="28"/>
        </w:rPr>
        <w:t xml:space="preserve"> </w:t>
      </w:r>
      <w:r w:rsidRPr="00E20372">
        <w:rPr>
          <w:rFonts w:ascii="Times New Roman" w:hAnsi="Times New Roman" w:cs="Times New Roman"/>
          <w:sz w:val="28"/>
          <w:szCs w:val="28"/>
        </w:rPr>
        <w:t>(із змінами)(далі</w:t>
      </w:r>
      <w:r w:rsidRPr="00E20372">
        <w:rPr>
          <w:rFonts w:ascii="Times New Roman" w:hAnsi="Times New Roman" w:cs="Times New Roman"/>
          <w:b/>
          <w:i/>
          <w:sz w:val="28"/>
          <w:szCs w:val="28"/>
        </w:rPr>
        <w:t xml:space="preserve"> – Закон </w:t>
      </w:r>
      <w:r w:rsidRPr="00E20372">
        <w:rPr>
          <w:rStyle w:val="rvts44"/>
          <w:rFonts w:ascii="Times New Roman" w:hAnsi="Times New Roman"/>
          <w:b/>
          <w:bCs/>
          <w:i/>
          <w:color w:val="000000"/>
          <w:sz w:val="28"/>
          <w:szCs w:val="28"/>
          <w:bdr w:val="none" w:sz="0" w:space="0" w:color="auto" w:frame="1"/>
        </w:rPr>
        <w:t>№ 922-VIII</w:t>
      </w:r>
      <w:r w:rsidRPr="00E20372">
        <w:rPr>
          <w:rFonts w:ascii="Times New Roman" w:hAnsi="Times New Roman" w:cs="Times New Roman"/>
          <w:sz w:val="28"/>
          <w:szCs w:val="28"/>
        </w:rPr>
        <w:t xml:space="preserve"> ),</w:t>
      </w:r>
      <w:r w:rsidRPr="00E20372">
        <w:rPr>
          <w:rFonts w:ascii="Times New Roman" w:hAnsi="Times New Roman" w:cs="Times New Roman"/>
          <w:b/>
          <w:sz w:val="28"/>
          <w:szCs w:val="28"/>
        </w:rPr>
        <w:t xml:space="preserve"> </w:t>
      </w:r>
      <w:r w:rsidRPr="00E20372">
        <w:rPr>
          <w:rFonts w:ascii="Times New Roman" w:hAnsi="Times New Roman" w:cs="Times New Roman"/>
          <w:sz w:val="28"/>
          <w:szCs w:val="28"/>
        </w:rPr>
        <w:t xml:space="preserve">а саме </w:t>
      </w:r>
      <w:r w:rsidRPr="00E20372">
        <w:rPr>
          <w:rFonts w:ascii="Times New Roman" w:hAnsi="Times New Roman" w:cs="Times New Roman"/>
          <w:b/>
          <w:sz w:val="28"/>
          <w:szCs w:val="28"/>
        </w:rPr>
        <w:t xml:space="preserve">за відсутності конкуренції з технічних причин. </w:t>
      </w:r>
    </w:p>
    <w:p w:rsidR="006E2C7A" w:rsidRPr="00E20372" w:rsidRDefault="006E2C7A" w:rsidP="006E2C7A">
      <w:pPr>
        <w:shd w:val="clear" w:color="auto" w:fill="FFFFFF"/>
        <w:spacing w:after="215" w:line="240" w:lineRule="auto"/>
        <w:ind w:firstLine="645"/>
        <w:contextualSpacing/>
        <w:jc w:val="both"/>
        <w:rPr>
          <w:rFonts w:ascii="Times New Roman" w:hAnsi="Times New Roman" w:cs="Times New Roman"/>
          <w:color w:val="000000"/>
          <w:sz w:val="28"/>
          <w:szCs w:val="28"/>
        </w:rPr>
      </w:pPr>
      <w:r w:rsidRPr="00E20372">
        <w:rPr>
          <w:rFonts w:ascii="Times New Roman" w:hAnsi="Times New Roman" w:cs="Times New Roman"/>
          <w:sz w:val="28"/>
          <w:szCs w:val="28"/>
        </w:rPr>
        <w:t xml:space="preserve">Відповідно до частини 1 статті 40 </w:t>
      </w:r>
      <w:r w:rsidRPr="00E20372">
        <w:rPr>
          <w:rFonts w:ascii="Times New Roman" w:hAnsi="Times New Roman" w:cs="Times New Roman"/>
          <w:b/>
          <w:i/>
          <w:sz w:val="28"/>
          <w:szCs w:val="28"/>
        </w:rPr>
        <w:t xml:space="preserve">Закону </w:t>
      </w:r>
      <w:r w:rsidRPr="00E20372">
        <w:rPr>
          <w:rStyle w:val="rvts44"/>
          <w:rFonts w:ascii="Times New Roman" w:hAnsi="Times New Roman"/>
          <w:b/>
          <w:bCs/>
          <w:i/>
          <w:color w:val="000000"/>
          <w:sz w:val="28"/>
          <w:szCs w:val="28"/>
          <w:bdr w:val="none" w:sz="0" w:space="0" w:color="auto" w:frame="1"/>
        </w:rPr>
        <w:t>№ 922-VIII</w:t>
      </w:r>
      <w:r w:rsidRPr="00E20372">
        <w:rPr>
          <w:rFonts w:ascii="Times New Roman" w:hAnsi="Times New Roman" w:cs="Times New Roman"/>
          <w:b/>
          <w:sz w:val="28"/>
          <w:szCs w:val="28"/>
        </w:rPr>
        <w:t xml:space="preserve"> </w:t>
      </w:r>
      <w:r w:rsidRPr="00E20372">
        <w:rPr>
          <w:rFonts w:ascii="Times New Roman" w:hAnsi="Times New Roman" w:cs="Times New Roman"/>
          <w:sz w:val="28"/>
          <w:szCs w:val="28"/>
        </w:rPr>
        <w:t xml:space="preserve">– переговорна процедура – це процедура, що використовується Замовником, як виняток, </w:t>
      </w:r>
      <w:r w:rsidRPr="00E20372">
        <w:rPr>
          <w:rFonts w:ascii="Times New Roman" w:hAnsi="Times New Roman" w:cs="Times New Roman"/>
          <w:color w:val="000000"/>
          <w:sz w:val="28"/>
          <w:szCs w:val="28"/>
        </w:rPr>
        <w:t>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w:t>
      </w:r>
    </w:p>
    <w:p w:rsidR="006E2C7A" w:rsidRPr="00E20372" w:rsidRDefault="006E2C7A" w:rsidP="006E2C7A">
      <w:pPr>
        <w:shd w:val="clear" w:color="auto" w:fill="FFFFFF"/>
        <w:spacing w:after="215" w:line="240" w:lineRule="auto"/>
        <w:ind w:firstLine="645"/>
        <w:contextualSpacing/>
        <w:jc w:val="both"/>
        <w:rPr>
          <w:rFonts w:ascii="Times New Roman" w:hAnsi="Times New Roman" w:cs="Times New Roman"/>
          <w:color w:val="000000"/>
          <w:sz w:val="28"/>
          <w:szCs w:val="28"/>
        </w:rPr>
      </w:pPr>
      <w:r w:rsidRPr="00E20372">
        <w:rPr>
          <w:rFonts w:ascii="Times New Roman" w:hAnsi="Times New Roman" w:cs="Times New Roman"/>
          <w:color w:val="000000"/>
          <w:sz w:val="28"/>
          <w:szCs w:val="28"/>
        </w:rPr>
        <w:t xml:space="preserve">Відповідно до частини 7 статті 40 </w:t>
      </w:r>
      <w:r w:rsidRPr="00E20372">
        <w:rPr>
          <w:rStyle w:val="rvts44"/>
          <w:rFonts w:ascii="Times New Roman" w:hAnsi="Times New Roman"/>
          <w:b/>
          <w:bCs/>
          <w:i/>
          <w:color w:val="000000"/>
          <w:sz w:val="28"/>
          <w:szCs w:val="28"/>
          <w:bdr w:val="none" w:sz="0" w:space="0" w:color="auto" w:frame="1"/>
        </w:rPr>
        <w:t xml:space="preserve">№ 922-VIII </w:t>
      </w:r>
      <w:r w:rsidRPr="00E20372">
        <w:rPr>
          <w:rFonts w:ascii="Times New Roman" w:hAnsi="Times New Roman" w:cs="Times New Roman"/>
          <w:color w:val="000000"/>
          <w:sz w:val="28"/>
          <w:szCs w:val="28"/>
        </w:rPr>
        <w:t xml:space="preserve"> Замовник має право укласти договір про закупівлю за результатами застосування переговорної процедури закупівлі у строк не раніше ніж через 10 днів (</w:t>
      </w:r>
      <w:r w:rsidRPr="00E20372">
        <w:rPr>
          <w:rFonts w:ascii="Times New Roman" w:hAnsi="Times New Roman" w:cs="Times New Roman"/>
          <w:b/>
          <w:color w:val="000000"/>
          <w:sz w:val="28"/>
          <w:szCs w:val="28"/>
        </w:rPr>
        <w:t>п’ять днів</w:t>
      </w:r>
      <w:r w:rsidRPr="00E20372">
        <w:rPr>
          <w:rFonts w:ascii="Times New Roman" w:hAnsi="Times New Roman" w:cs="Times New Roman"/>
          <w:color w:val="000000"/>
          <w:sz w:val="28"/>
          <w:szCs w:val="28"/>
        </w:rPr>
        <w:t xml:space="preserve"> - у разі застосування </w:t>
      </w:r>
      <w:r w:rsidRPr="00E20372">
        <w:rPr>
          <w:rFonts w:ascii="Times New Roman" w:hAnsi="Times New Roman" w:cs="Times New Roman"/>
          <w:b/>
          <w:color w:val="000000"/>
          <w:sz w:val="28"/>
          <w:szCs w:val="28"/>
        </w:rPr>
        <w:t>переговорної процедури закупівлі з підстав</w:t>
      </w:r>
      <w:r w:rsidRPr="00E20372">
        <w:rPr>
          <w:rFonts w:ascii="Times New Roman" w:hAnsi="Times New Roman" w:cs="Times New Roman"/>
          <w:color w:val="000000"/>
          <w:sz w:val="28"/>
          <w:szCs w:val="28"/>
        </w:rPr>
        <w:t>, визначених </w:t>
      </w:r>
      <w:hyperlink r:id="rId6" w:anchor="n1727" w:history="1">
        <w:r w:rsidRPr="00E20372">
          <w:rPr>
            <w:rFonts w:ascii="Times New Roman" w:hAnsi="Times New Roman" w:cs="Times New Roman"/>
            <w:color w:val="006600"/>
            <w:sz w:val="28"/>
            <w:szCs w:val="28"/>
            <w:u w:val="single"/>
          </w:rPr>
          <w:t>пунктом 3</w:t>
        </w:r>
      </w:hyperlink>
      <w:r w:rsidRPr="00E20372">
        <w:rPr>
          <w:rFonts w:ascii="Times New Roman" w:hAnsi="Times New Roman" w:cs="Times New Roman"/>
          <w:color w:val="000000"/>
          <w:sz w:val="28"/>
          <w:szCs w:val="28"/>
        </w:rPr>
        <w:t xml:space="preserve"> частини другої цієї статті, а також у разі закупівлі нафти, нафтопродуктів сирих, </w:t>
      </w:r>
      <w:r w:rsidRPr="00E20372">
        <w:rPr>
          <w:rFonts w:ascii="Times New Roman" w:hAnsi="Times New Roman" w:cs="Times New Roman"/>
          <w:b/>
          <w:color w:val="000000"/>
          <w:sz w:val="28"/>
          <w:szCs w:val="28"/>
        </w:rPr>
        <w:t>електричної енергії,</w:t>
      </w:r>
      <w:r w:rsidRPr="00E20372">
        <w:rPr>
          <w:rFonts w:ascii="Times New Roman" w:hAnsi="Times New Roman" w:cs="Times New Roman"/>
          <w:color w:val="000000"/>
          <w:sz w:val="28"/>
          <w:szCs w:val="28"/>
        </w:rPr>
        <w:t xml:space="preserve"> </w:t>
      </w:r>
      <w:r w:rsidRPr="00E20372">
        <w:rPr>
          <w:rFonts w:ascii="Times New Roman" w:hAnsi="Times New Roman" w:cs="Times New Roman"/>
          <w:b/>
          <w:color w:val="000000"/>
          <w:sz w:val="28"/>
          <w:szCs w:val="28"/>
        </w:rPr>
        <w:t>послуг з її передання та розподілу,</w:t>
      </w:r>
      <w:r w:rsidRPr="00E20372">
        <w:rPr>
          <w:rFonts w:ascii="Times New Roman" w:hAnsi="Times New Roman" w:cs="Times New Roman"/>
          <w:color w:val="000000"/>
          <w:sz w:val="28"/>
          <w:szCs w:val="28"/>
        </w:rPr>
        <w:t xml:space="preserve"> централізованого постачання теплової енергії, централізованого постачання гарячої води, послуг з централізованого опалення, телекомунікаційних послуг, у тому числі з трансляції </w:t>
      </w:r>
      <w:proofErr w:type="spellStart"/>
      <w:r w:rsidRPr="00E20372">
        <w:rPr>
          <w:rFonts w:ascii="Times New Roman" w:hAnsi="Times New Roman" w:cs="Times New Roman"/>
          <w:color w:val="000000"/>
          <w:sz w:val="28"/>
          <w:szCs w:val="28"/>
        </w:rPr>
        <w:t>радіо-</w:t>
      </w:r>
      <w:proofErr w:type="spellEnd"/>
      <w:r w:rsidRPr="00E20372">
        <w:rPr>
          <w:rFonts w:ascii="Times New Roman" w:hAnsi="Times New Roman" w:cs="Times New Roman"/>
          <w:color w:val="000000"/>
          <w:sz w:val="28"/>
          <w:szCs w:val="28"/>
        </w:rPr>
        <w:t xml:space="preserve"> та телесигналів, послуг з централізованого водопостачання та/або водовідведення та послуг з перевезення залізничним транспортом загального користування) з дня </w:t>
      </w:r>
      <w:r w:rsidRPr="00E20372">
        <w:rPr>
          <w:rFonts w:ascii="Times New Roman" w:hAnsi="Times New Roman" w:cs="Times New Roman"/>
          <w:color w:val="000000"/>
          <w:sz w:val="28"/>
          <w:szCs w:val="28"/>
        </w:rPr>
        <w:lastRenderedPageBreak/>
        <w:t>оприлюднення в електронній системі закупівель повідомлення про намір укласти договір про закупівлю.</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На підставі вищевикладеного, тендерний комітет Східної митниці Держмитслужби, як виняток, застосовує переговорну процедуру закупівлі послуг:</w:t>
      </w:r>
      <w:r w:rsidRPr="00E20372">
        <w:rPr>
          <w:rFonts w:ascii="Times New Roman" w:hAnsi="Times New Roman" w:cs="Times New Roman"/>
          <w:b/>
          <w:sz w:val="28"/>
          <w:szCs w:val="28"/>
        </w:rPr>
        <w:t xml:space="preserve"> Розподіл електричної енергії</w:t>
      </w:r>
      <w:r w:rsidRPr="00E20372">
        <w:rPr>
          <w:rFonts w:ascii="Times New Roman" w:hAnsi="Times New Roman" w:cs="Times New Roman"/>
          <w:sz w:val="28"/>
          <w:szCs w:val="28"/>
        </w:rPr>
        <w:t xml:space="preserve">, код за </w:t>
      </w:r>
      <w:proofErr w:type="spellStart"/>
      <w:r w:rsidRPr="00E20372">
        <w:rPr>
          <w:rFonts w:ascii="Times New Roman" w:hAnsi="Times New Roman" w:cs="Times New Roman"/>
          <w:bCs/>
          <w:sz w:val="28"/>
          <w:szCs w:val="28"/>
        </w:rPr>
        <w:t>ДК</w:t>
      </w:r>
      <w:proofErr w:type="spellEnd"/>
      <w:r w:rsidRPr="00E20372">
        <w:rPr>
          <w:rFonts w:ascii="Times New Roman" w:hAnsi="Times New Roman" w:cs="Times New Roman"/>
          <w:bCs/>
          <w:sz w:val="28"/>
          <w:szCs w:val="28"/>
        </w:rPr>
        <w:t xml:space="preserve"> 021:2015 - 65310000-9 Розподіл електричної енергії,  (відповідний </w:t>
      </w:r>
      <w:r w:rsidRPr="00E20372">
        <w:rPr>
          <w:rFonts w:ascii="Times New Roman" w:hAnsi="Times New Roman" w:cs="Times New Roman"/>
          <w:sz w:val="28"/>
          <w:szCs w:val="28"/>
        </w:rPr>
        <w:t xml:space="preserve">код номенклатурної позиції предмету закупівлі за </w:t>
      </w:r>
      <w:proofErr w:type="spellStart"/>
      <w:r w:rsidRPr="00E20372">
        <w:rPr>
          <w:rFonts w:ascii="Times New Roman" w:hAnsi="Times New Roman" w:cs="Times New Roman"/>
          <w:bCs/>
          <w:sz w:val="28"/>
          <w:szCs w:val="28"/>
        </w:rPr>
        <w:t>ДК</w:t>
      </w:r>
      <w:proofErr w:type="spellEnd"/>
      <w:r w:rsidRPr="00E20372">
        <w:rPr>
          <w:rFonts w:ascii="Times New Roman" w:hAnsi="Times New Roman" w:cs="Times New Roman"/>
          <w:bCs/>
          <w:sz w:val="28"/>
          <w:szCs w:val="28"/>
        </w:rPr>
        <w:t xml:space="preserve"> 021:2015 - 65310000-9 Розподіл електричної енергії). </w:t>
      </w:r>
      <w:r w:rsidRPr="00E20372">
        <w:rPr>
          <w:rFonts w:ascii="Times New Roman" w:hAnsi="Times New Roman" w:cs="Times New Roman"/>
          <w:sz w:val="28"/>
          <w:szCs w:val="28"/>
        </w:rPr>
        <w:t>Документи, що підтверджують наявність умов застосування переговорної процедури закупівлі:</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 xml:space="preserve"> - Закон України від 25.12.2015 №922 - </w:t>
      </w:r>
      <w:r w:rsidRPr="00E20372">
        <w:rPr>
          <w:rFonts w:ascii="Times New Roman" w:hAnsi="Times New Roman" w:cs="Times New Roman"/>
          <w:sz w:val="28"/>
          <w:szCs w:val="28"/>
          <w:lang w:val="en-US"/>
        </w:rPr>
        <w:t>VIII</w:t>
      </w:r>
      <w:r w:rsidRPr="00E20372">
        <w:rPr>
          <w:rFonts w:ascii="Times New Roman" w:hAnsi="Times New Roman" w:cs="Times New Roman"/>
          <w:sz w:val="28"/>
          <w:szCs w:val="28"/>
        </w:rPr>
        <w:t xml:space="preserve"> «Про публічні закупівлі» (із змінами); </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 Закон України від 20.04.2000 №1682-ІІІ «По природні монополії» (із змінами);</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 xml:space="preserve"> - Закон України від 13.04.2017 № 2019-VIII «Про ринок електричної енергії» (із змінами);</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 xml:space="preserve"> - постанова HKPEKП від 30.11.2018 № 1587;</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 xml:space="preserve"> - постанова HKPEKП від 27.12.2017 №1470;</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color w:val="000000"/>
          <w:sz w:val="28"/>
          <w:szCs w:val="28"/>
        </w:rPr>
      </w:pPr>
      <w:r w:rsidRPr="00E20372">
        <w:rPr>
          <w:rFonts w:ascii="Times New Roman" w:hAnsi="Times New Roman" w:cs="Times New Roman"/>
          <w:sz w:val="28"/>
          <w:szCs w:val="28"/>
        </w:rPr>
        <w:t>-  постанова НКРЕКП</w:t>
      </w:r>
      <w:r w:rsidRPr="00E20372">
        <w:rPr>
          <w:rFonts w:ascii="Times New Roman" w:hAnsi="Times New Roman" w:cs="Times New Roman"/>
          <w:color w:val="000000"/>
          <w:sz w:val="28"/>
          <w:szCs w:val="28"/>
        </w:rPr>
        <w:t xml:space="preserve"> від 05 грудня 2001 року № 1187;</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color w:val="000000"/>
          <w:sz w:val="28"/>
          <w:szCs w:val="28"/>
        </w:rPr>
      </w:pPr>
      <w:r w:rsidRPr="00E20372">
        <w:rPr>
          <w:rFonts w:ascii="Times New Roman" w:hAnsi="Times New Roman" w:cs="Times New Roman"/>
          <w:color w:val="000000"/>
          <w:sz w:val="28"/>
          <w:szCs w:val="28"/>
        </w:rPr>
        <w:t xml:space="preserve">- </w:t>
      </w:r>
      <w:r w:rsidRPr="00E20372">
        <w:rPr>
          <w:rFonts w:ascii="Times New Roman" w:hAnsi="Times New Roman" w:cs="Times New Roman"/>
          <w:sz w:val="28"/>
          <w:szCs w:val="28"/>
        </w:rPr>
        <w:t>постанова НКРЕКП</w:t>
      </w:r>
      <w:r w:rsidRPr="00E20372">
        <w:rPr>
          <w:rFonts w:ascii="Times New Roman" w:hAnsi="Times New Roman" w:cs="Times New Roman"/>
          <w:color w:val="000000"/>
          <w:sz w:val="28"/>
          <w:szCs w:val="28"/>
        </w:rPr>
        <w:t xml:space="preserve"> від 05 жовтня 2018 року № 1175;</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color w:val="000000"/>
          <w:sz w:val="28"/>
          <w:szCs w:val="28"/>
        </w:rPr>
      </w:pPr>
      <w:r w:rsidRPr="00E20372">
        <w:rPr>
          <w:rFonts w:ascii="Times New Roman" w:hAnsi="Times New Roman" w:cs="Times New Roman"/>
          <w:color w:val="000000"/>
          <w:sz w:val="28"/>
          <w:szCs w:val="28"/>
        </w:rPr>
        <w:t>- постанова НКРЕКП від 09 грудня 2020 року № 2355;</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color w:val="000000"/>
          <w:sz w:val="28"/>
          <w:szCs w:val="28"/>
        </w:rPr>
        <w:t xml:space="preserve">- </w:t>
      </w:r>
      <w:r w:rsidRPr="00E20372">
        <w:rPr>
          <w:rFonts w:ascii="Times New Roman" w:hAnsi="Times New Roman" w:cs="Times New Roman"/>
          <w:sz w:val="28"/>
          <w:szCs w:val="28"/>
        </w:rPr>
        <w:t>Зведений перелік суб'єктів природних монополій, станом на 30.11.2020 (сайт АМКУ);</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 Реєстр суб’єктів природних монополій, які провадять господарську діяльність у сфері енергетики, станом на 30.11.2020 (сайт НКРЕКП);</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r w:rsidRPr="00E20372">
        <w:rPr>
          <w:rFonts w:ascii="Times New Roman" w:hAnsi="Times New Roman" w:cs="Times New Roman"/>
          <w:sz w:val="28"/>
          <w:szCs w:val="28"/>
        </w:rPr>
        <w:t xml:space="preserve"> - Протоколи тендерного комітету Східної митниці Держмитслужби від 05.02.2021 року №8 та від 05.02.2021 року №9.</w:t>
      </w:r>
    </w:p>
    <w:p w:rsidR="006E2C7A" w:rsidRPr="00E20372" w:rsidRDefault="006E2C7A" w:rsidP="006E2C7A">
      <w:pPr>
        <w:spacing w:before="100" w:beforeAutospacing="1" w:after="100" w:afterAutospacing="1" w:line="240" w:lineRule="auto"/>
        <w:ind w:firstLine="709"/>
        <w:contextualSpacing/>
        <w:jc w:val="both"/>
        <w:rPr>
          <w:rFonts w:ascii="Times New Roman" w:hAnsi="Times New Roman" w:cs="Times New Roman"/>
          <w:sz w:val="28"/>
          <w:szCs w:val="28"/>
        </w:rPr>
      </w:pPr>
    </w:p>
    <w:p w:rsidR="007F07DE" w:rsidRPr="006E2C7A" w:rsidRDefault="007F07DE" w:rsidP="006E2C7A">
      <w:pPr>
        <w:spacing w:line="240" w:lineRule="auto"/>
        <w:jc w:val="both"/>
        <w:rPr>
          <w:rFonts w:ascii="Times New Roman" w:hAnsi="Times New Roman" w:cs="Times New Roman"/>
          <w:bCs/>
          <w:sz w:val="28"/>
          <w:szCs w:val="28"/>
        </w:rPr>
      </w:pPr>
      <w:r w:rsidRPr="00E20372">
        <w:rPr>
          <w:rFonts w:ascii="Times New Roman" w:hAnsi="Times New Roman" w:cs="Times New Roman"/>
          <w:sz w:val="28"/>
          <w:szCs w:val="28"/>
          <w:lang w:bidi="uk-UA"/>
        </w:rPr>
        <w:t xml:space="preserve">Повідомлення про намір укласти договір про закупівлю за результатами переговорної процедури «скороченої» за предметом закупівлі </w:t>
      </w:r>
      <w:r w:rsidRPr="00E20372">
        <w:rPr>
          <w:rFonts w:ascii="Times New Roman" w:hAnsi="Times New Roman" w:cs="Times New Roman"/>
          <w:b/>
          <w:sz w:val="28"/>
          <w:szCs w:val="28"/>
        </w:rPr>
        <w:t>Розподіл електричної енергії</w:t>
      </w:r>
      <w:r w:rsidRPr="00E20372">
        <w:rPr>
          <w:rFonts w:ascii="Times New Roman" w:hAnsi="Times New Roman" w:cs="Times New Roman"/>
          <w:sz w:val="28"/>
          <w:szCs w:val="28"/>
        </w:rPr>
        <w:t xml:space="preserve">, код за </w:t>
      </w:r>
      <w:proofErr w:type="spellStart"/>
      <w:r w:rsidRPr="00E20372">
        <w:rPr>
          <w:rFonts w:ascii="Times New Roman" w:hAnsi="Times New Roman" w:cs="Times New Roman"/>
          <w:bCs/>
          <w:sz w:val="28"/>
          <w:szCs w:val="28"/>
        </w:rPr>
        <w:t>ДК</w:t>
      </w:r>
      <w:proofErr w:type="spellEnd"/>
      <w:r w:rsidRPr="00E20372">
        <w:rPr>
          <w:rFonts w:ascii="Times New Roman" w:hAnsi="Times New Roman" w:cs="Times New Roman"/>
          <w:bCs/>
          <w:sz w:val="28"/>
          <w:szCs w:val="28"/>
        </w:rPr>
        <w:t xml:space="preserve"> 021:2015 - 65310000-9 Розподіл електричної енергії,  (відповідний </w:t>
      </w:r>
      <w:r w:rsidRPr="00E20372">
        <w:rPr>
          <w:rFonts w:ascii="Times New Roman" w:hAnsi="Times New Roman" w:cs="Times New Roman"/>
          <w:sz w:val="28"/>
          <w:szCs w:val="28"/>
        </w:rPr>
        <w:t xml:space="preserve">код номенклатурної позиції предмету закупівлі за </w:t>
      </w:r>
      <w:proofErr w:type="spellStart"/>
      <w:r w:rsidRPr="00E20372">
        <w:rPr>
          <w:rFonts w:ascii="Times New Roman" w:hAnsi="Times New Roman" w:cs="Times New Roman"/>
          <w:bCs/>
          <w:sz w:val="28"/>
          <w:szCs w:val="28"/>
        </w:rPr>
        <w:t>ДК</w:t>
      </w:r>
      <w:proofErr w:type="spellEnd"/>
      <w:r w:rsidRPr="00E20372">
        <w:rPr>
          <w:rFonts w:ascii="Times New Roman" w:hAnsi="Times New Roman" w:cs="Times New Roman"/>
          <w:bCs/>
          <w:sz w:val="28"/>
          <w:szCs w:val="28"/>
        </w:rPr>
        <w:t xml:space="preserve"> 021:2015 - 65310000-9 Розподіл електричної енергії)</w:t>
      </w:r>
      <w:r w:rsidR="006E2C7A" w:rsidRPr="00E20372">
        <w:rPr>
          <w:rFonts w:ascii="Times New Roman" w:hAnsi="Times New Roman" w:cs="Times New Roman"/>
          <w:bCs/>
          <w:sz w:val="28"/>
          <w:szCs w:val="28"/>
        </w:rPr>
        <w:t xml:space="preserve"> </w:t>
      </w:r>
      <w:r w:rsidRPr="00E20372">
        <w:rPr>
          <w:rFonts w:ascii="Times New Roman" w:hAnsi="Times New Roman" w:cs="Times New Roman"/>
          <w:bCs/>
          <w:sz w:val="28"/>
          <w:szCs w:val="28"/>
          <w:lang w:bidi="uk-UA"/>
        </w:rPr>
        <w:t xml:space="preserve">розміщено на сайті </w:t>
      </w:r>
      <w:proofErr w:type="spellStart"/>
      <w:r w:rsidRPr="00E20372">
        <w:rPr>
          <w:rFonts w:ascii="Times New Roman" w:hAnsi="Times New Roman" w:cs="Times New Roman"/>
          <w:bCs/>
          <w:sz w:val="28"/>
          <w:szCs w:val="28"/>
          <w:lang w:val="en-US" w:bidi="uk-UA"/>
        </w:rPr>
        <w:t>prozorro</w:t>
      </w:r>
      <w:proofErr w:type="spellEnd"/>
      <w:r w:rsidRPr="00E20372">
        <w:rPr>
          <w:rFonts w:ascii="Times New Roman" w:hAnsi="Times New Roman" w:cs="Times New Roman"/>
          <w:bCs/>
          <w:sz w:val="28"/>
          <w:szCs w:val="28"/>
          <w:lang w:bidi="uk-UA"/>
        </w:rPr>
        <w:t>.</w:t>
      </w:r>
      <w:proofErr w:type="spellStart"/>
      <w:r w:rsidRPr="00E20372">
        <w:rPr>
          <w:rFonts w:ascii="Times New Roman" w:hAnsi="Times New Roman" w:cs="Times New Roman"/>
          <w:bCs/>
          <w:sz w:val="28"/>
          <w:szCs w:val="28"/>
          <w:lang w:val="en-US" w:bidi="uk-UA"/>
        </w:rPr>
        <w:t>gov</w:t>
      </w:r>
      <w:proofErr w:type="spellEnd"/>
      <w:r w:rsidRPr="00E20372">
        <w:rPr>
          <w:rFonts w:ascii="Times New Roman" w:hAnsi="Times New Roman" w:cs="Times New Roman"/>
          <w:bCs/>
          <w:sz w:val="28"/>
          <w:szCs w:val="28"/>
          <w:lang w:bidi="uk-UA"/>
        </w:rPr>
        <w:t>.</w:t>
      </w:r>
      <w:proofErr w:type="spellStart"/>
      <w:r w:rsidRPr="00E20372">
        <w:rPr>
          <w:rFonts w:ascii="Times New Roman" w:hAnsi="Times New Roman" w:cs="Times New Roman"/>
          <w:bCs/>
          <w:sz w:val="28"/>
          <w:szCs w:val="28"/>
          <w:lang w:val="en-US" w:bidi="uk-UA"/>
        </w:rPr>
        <w:t>ua</w:t>
      </w:r>
      <w:proofErr w:type="spellEnd"/>
      <w:r w:rsidRPr="00E20372">
        <w:rPr>
          <w:rFonts w:ascii="Times New Roman" w:hAnsi="Times New Roman" w:cs="Times New Roman"/>
          <w:bCs/>
          <w:sz w:val="28"/>
          <w:szCs w:val="28"/>
          <w:lang w:bidi="uk-UA"/>
        </w:rPr>
        <w:t xml:space="preserve">  за відповідним посиланням: </w:t>
      </w:r>
      <w:r w:rsidRPr="00E20372">
        <w:rPr>
          <w:rFonts w:ascii="Times New Roman" w:hAnsi="Times New Roman" w:cs="Times New Roman"/>
          <w:bCs/>
          <w:sz w:val="28"/>
          <w:szCs w:val="28"/>
          <w:lang w:val="en-US" w:bidi="uk-UA"/>
        </w:rPr>
        <w:t>https</w:t>
      </w:r>
      <w:r w:rsidRPr="00E20372">
        <w:rPr>
          <w:rFonts w:ascii="Times New Roman" w:hAnsi="Times New Roman" w:cs="Times New Roman"/>
          <w:bCs/>
          <w:sz w:val="28"/>
          <w:szCs w:val="28"/>
          <w:lang w:bidi="uk-UA"/>
        </w:rPr>
        <w:t>://</w:t>
      </w:r>
      <w:proofErr w:type="spellStart"/>
      <w:r w:rsidRPr="00E20372">
        <w:rPr>
          <w:rFonts w:ascii="Times New Roman" w:hAnsi="Times New Roman" w:cs="Times New Roman"/>
          <w:bCs/>
          <w:sz w:val="28"/>
          <w:szCs w:val="28"/>
          <w:lang w:val="en-US" w:bidi="uk-UA"/>
        </w:rPr>
        <w:t>prozorro</w:t>
      </w:r>
      <w:proofErr w:type="spellEnd"/>
      <w:r w:rsidRPr="00E20372">
        <w:rPr>
          <w:rFonts w:ascii="Times New Roman" w:hAnsi="Times New Roman" w:cs="Times New Roman"/>
          <w:bCs/>
          <w:sz w:val="28"/>
          <w:szCs w:val="28"/>
          <w:lang w:bidi="uk-UA"/>
        </w:rPr>
        <w:t>.</w:t>
      </w:r>
      <w:proofErr w:type="spellStart"/>
      <w:r w:rsidRPr="00E20372">
        <w:rPr>
          <w:rFonts w:ascii="Times New Roman" w:hAnsi="Times New Roman" w:cs="Times New Roman"/>
          <w:bCs/>
          <w:sz w:val="28"/>
          <w:szCs w:val="28"/>
          <w:lang w:val="en-US" w:bidi="uk-UA"/>
        </w:rPr>
        <w:t>gov</w:t>
      </w:r>
      <w:proofErr w:type="spellEnd"/>
      <w:r w:rsidRPr="00E20372">
        <w:rPr>
          <w:rFonts w:ascii="Times New Roman" w:hAnsi="Times New Roman" w:cs="Times New Roman"/>
          <w:bCs/>
          <w:sz w:val="28"/>
          <w:szCs w:val="28"/>
          <w:lang w:bidi="uk-UA"/>
        </w:rPr>
        <w:t>.</w:t>
      </w:r>
      <w:proofErr w:type="spellStart"/>
      <w:r w:rsidRPr="00E20372">
        <w:rPr>
          <w:rFonts w:ascii="Times New Roman" w:hAnsi="Times New Roman" w:cs="Times New Roman"/>
          <w:bCs/>
          <w:sz w:val="28"/>
          <w:szCs w:val="28"/>
          <w:lang w:val="en-US" w:bidi="uk-UA"/>
        </w:rPr>
        <w:t>ua</w:t>
      </w:r>
      <w:proofErr w:type="spellEnd"/>
      <w:r w:rsidRPr="00E20372">
        <w:rPr>
          <w:rFonts w:ascii="Times New Roman" w:hAnsi="Times New Roman" w:cs="Times New Roman"/>
          <w:bCs/>
          <w:sz w:val="28"/>
          <w:szCs w:val="28"/>
          <w:lang w:bidi="uk-UA"/>
        </w:rPr>
        <w:t>/</w:t>
      </w:r>
      <w:r w:rsidRPr="00E20372">
        <w:rPr>
          <w:rFonts w:ascii="Times New Roman" w:hAnsi="Times New Roman" w:cs="Times New Roman"/>
          <w:bCs/>
          <w:sz w:val="28"/>
          <w:szCs w:val="28"/>
          <w:lang w:val="en-US" w:bidi="uk-UA"/>
        </w:rPr>
        <w:t>tender</w:t>
      </w:r>
      <w:r w:rsidRPr="00E20372">
        <w:rPr>
          <w:rFonts w:ascii="Times New Roman" w:hAnsi="Times New Roman" w:cs="Times New Roman"/>
          <w:bCs/>
          <w:sz w:val="28"/>
          <w:szCs w:val="28"/>
          <w:lang w:bidi="uk-UA"/>
        </w:rPr>
        <w:t>/</w:t>
      </w:r>
      <w:r w:rsidRPr="00E20372">
        <w:rPr>
          <w:rFonts w:ascii="Times New Roman" w:hAnsi="Times New Roman" w:cs="Times New Roman"/>
          <w:bCs/>
          <w:sz w:val="28"/>
          <w:szCs w:val="28"/>
          <w:lang w:val="en-US" w:bidi="uk-UA"/>
        </w:rPr>
        <w:t>UA</w:t>
      </w:r>
      <w:r w:rsidRPr="00E20372">
        <w:rPr>
          <w:rFonts w:ascii="Times New Roman" w:hAnsi="Times New Roman" w:cs="Times New Roman"/>
          <w:bCs/>
          <w:sz w:val="28"/>
          <w:szCs w:val="28"/>
          <w:lang w:bidi="uk-UA"/>
        </w:rPr>
        <w:t>-2021-02-16-002438-с.</w:t>
      </w:r>
    </w:p>
    <w:p w:rsidR="006A24F2" w:rsidRPr="006E2C7A" w:rsidRDefault="006A24F2" w:rsidP="006E2C7A">
      <w:pPr>
        <w:spacing w:line="240" w:lineRule="auto"/>
        <w:contextualSpacing/>
        <w:rPr>
          <w:rFonts w:ascii="Times New Roman" w:hAnsi="Times New Roman" w:cs="Times New Roman"/>
          <w:sz w:val="28"/>
          <w:szCs w:val="28"/>
        </w:rPr>
      </w:pPr>
    </w:p>
    <w:p w:rsidR="00F73804" w:rsidRPr="006E2C7A" w:rsidRDefault="00F73804" w:rsidP="006E2C7A">
      <w:pPr>
        <w:spacing w:line="240" w:lineRule="auto"/>
        <w:contextualSpacing/>
        <w:rPr>
          <w:rFonts w:ascii="Times New Roman" w:hAnsi="Times New Roman" w:cs="Times New Roman"/>
          <w:sz w:val="28"/>
          <w:szCs w:val="28"/>
        </w:rPr>
      </w:pPr>
    </w:p>
    <w:p w:rsidR="00F73804" w:rsidRPr="006E2C7A" w:rsidRDefault="00F73804" w:rsidP="006E2C7A">
      <w:pPr>
        <w:spacing w:line="240" w:lineRule="auto"/>
        <w:contextualSpacing/>
        <w:rPr>
          <w:rFonts w:ascii="Times New Roman" w:hAnsi="Times New Roman" w:cs="Times New Roman"/>
          <w:sz w:val="28"/>
          <w:szCs w:val="28"/>
        </w:rPr>
      </w:pPr>
    </w:p>
    <w:sectPr w:rsidR="00F73804" w:rsidRPr="006E2C7A" w:rsidSect="006E2C7A">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E54A42"/>
    <w:multiLevelType w:val="hybridMultilevel"/>
    <w:tmpl w:val="09B84D2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8D91C11"/>
    <w:multiLevelType w:val="hybridMultilevel"/>
    <w:tmpl w:val="C6041538"/>
    <w:lvl w:ilvl="0" w:tplc="51A8EA92">
      <w:start w:val="1"/>
      <w:numFmt w:val="decimal"/>
      <w:lvlText w:val="%1."/>
      <w:lvlJc w:val="left"/>
      <w:pPr>
        <w:ind w:left="502" w:hanging="360"/>
      </w:pPr>
      <w:rPr>
        <w:rFonts w:cs="Times New Roman" w:hint="default"/>
        <w:b w:val="0"/>
      </w:rPr>
    </w:lvl>
    <w:lvl w:ilvl="1" w:tplc="461880E2">
      <w:numFmt w:val="bullet"/>
      <w:lvlText w:val="-"/>
      <w:lvlJc w:val="left"/>
      <w:pPr>
        <w:ind w:left="1605" w:hanging="525"/>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4705B09"/>
    <w:multiLevelType w:val="hybridMultilevel"/>
    <w:tmpl w:val="9E06CA38"/>
    <w:lvl w:ilvl="0" w:tplc="1092222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4A210A47"/>
    <w:multiLevelType w:val="hybridMultilevel"/>
    <w:tmpl w:val="D4D2176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62731267"/>
    <w:multiLevelType w:val="hybridMultilevel"/>
    <w:tmpl w:val="69B827AC"/>
    <w:lvl w:ilvl="0" w:tplc="D090D73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6"/>
  </w:num>
  <w:num w:numId="4">
    <w:abstractNumId w:val="1"/>
  </w:num>
  <w:num w:numId="5">
    <w:abstractNumId w:val="2"/>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D81EFA"/>
    <w:rsid w:val="00047D34"/>
    <w:rsid w:val="000742E2"/>
    <w:rsid w:val="000E4220"/>
    <w:rsid w:val="00125688"/>
    <w:rsid w:val="00255986"/>
    <w:rsid w:val="0033076B"/>
    <w:rsid w:val="0039105C"/>
    <w:rsid w:val="003B440E"/>
    <w:rsid w:val="003E3797"/>
    <w:rsid w:val="003F1551"/>
    <w:rsid w:val="003F34A1"/>
    <w:rsid w:val="00417BBB"/>
    <w:rsid w:val="004A6480"/>
    <w:rsid w:val="00504901"/>
    <w:rsid w:val="005124B5"/>
    <w:rsid w:val="00582E0F"/>
    <w:rsid w:val="006378EB"/>
    <w:rsid w:val="00662B4B"/>
    <w:rsid w:val="006A24F2"/>
    <w:rsid w:val="006B2B23"/>
    <w:rsid w:val="006E2C7A"/>
    <w:rsid w:val="00713E80"/>
    <w:rsid w:val="007C44CF"/>
    <w:rsid w:val="007F07DE"/>
    <w:rsid w:val="008222FC"/>
    <w:rsid w:val="008C65AE"/>
    <w:rsid w:val="009E434B"/>
    <w:rsid w:val="00AB7444"/>
    <w:rsid w:val="00AC5AC0"/>
    <w:rsid w:val="00B30382"/>
    <w:rsid w:val="00B74797"/>
    <w:rsid w:val="00C174A8"/>
    <w:rsid w:val="00D0011E"/>
    <w:rsid w:val="00D5289E"/>
    <w:rsid w:val="00D81EFA"/>
    <w:rsid w:val="00DB46CE"/>
    <w:rsid w:val="00E20372"/>
    <w:rsid w:val="00E72BCE"/>
    <w:rsid w:val="00F02CC7"/>
    <w:rsid w:val="00F73804"/>
    <w:rsid w:val="00FD2A2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2,Обычный (Web), Знак, 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
    <w:basedOn w:val="a"/>
    <w:link w:val="a4"/>
    <w:uiPriority w:val="99"/>
    <w:qFormat/>
    <w:rsid w:val="00D81EF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бычный (веб) Знак"/>
    <w:aliases w:val="Знак Знак,Знак2 Знак,Обычный (Web) Знак, Знак Знак, Знак2 Знак,Обычный (Web) Знак Знак Знак Знак1,Обычный (Web) Знак Знак Знак Знак Знак Знак Знак,Обычный (Web) Знак Знак Знак Знак Знак,Знак18 Знак Знак"/>
    <w:link w:val="a3"/>
    <w:uiPriority w:val="99"/>
    <w:locked/>
    <w:rsid w:val="00D81EFA"/>
    <w:rPr>
      <w:rFonts w:ascii="Times New Roman" w:eastAsia="Times New Roman" w:hAnsi="Times New Roman" w:cs="Times New Roman"/>
      <w:sz w:val="24"/>
      <w:szCs w:val="24"/>
      <w:lang w:eastAsia="uk-UA"/>
    </w:rPr>
  </w:style>
  <w:style w:type="paragraph" w:styleId="a5">
    <w:name w:val="List Paragraph"/>
    <w:basedOn w:val="a"/>
    <w:uiPriority w:val="34"/>
    <w:qFormat/>
    <w:rsid w:val="00D81EFA"/>
    <w:pPr>
      <w:ind w:left="720"/>
      <w:contextualSpacing/>
    </w:pPr>
  </w:style>
  <w:style w:type="table" w:styleId="a6">
    <w:name w:val="Table Grid"/>
    <w:basedOn w:val="a1"/>
    <w:uiPriority w:val="59"/>
    <w:rsid w:val="00D81EFA"/>
    <w:pPr>
      <w:spacing w:after="0" w:line="240" w:lineRule="auto"/>
    </w:pPr>
    <w:rPr>
      <w:rFonts w:eastAsia="Times New Roman" w:cstheme="minorHAns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uiPriority w:val="99"/>
    <w:rsid w:val="00D81EFA"/>
    <w:pPr>
      <w:widowControl w:val="0"/>
      <w:spacing w:after="0" w:line="240" w:lineRule="auto"/>
      <w:ind w:left="40"/>
      <w:jc w:val="both"/>
    </w:pPr>
    <w:rPr>
      <w:rFonts w:ascii="Times New Roman" w:eastAsia="Times New Roman" w:hAnsi="Times New Roman" w:cs="Times New Roman"/>
      <w:sz w:val="20"/>
      <w:szCs w:val="20"/>
    </w:rPr>
  </w:style>
  <w:style w:type="paragraph" w:styleId="a7">
    <w:name w:val="Title"/>
    <w:basedOn w:val="a"/>
    <w:link w:val="a8"/>
    <w:qFormat/>
    <w:rsid w:val="00D81EFA"/>
    <w:pPr>
      <w:spacing w:after="0" w:line="240" w:lineRule="auto"/>
      <w:jc w:val="center"/>
    </w:pPr>
    <w:rPr>
      <w:rFonts w:ascii="Times New Roman" w:eastAsia="Times New Roman" w:hAnsi="Times New Roman" w:cs="Times New Roman"/>
      <w:sz w:val="44"/>
      <w:szCs w:val="20"/>
      <w:lang w:eastAsia="ru-RU"/>
    </w:rPr>
  </w:style>
  <w:style w:type="character" w:customStyle="1" w:styleId="a8">
    <w:name w:val="Название Знак"/>
    <w:basedOn w:val="a0"/>
    <w:link w:val="a7"/>
    <w:rsid w:val="00D81EFA"/>
    <w:rPr>
      <w:rFonts w:ascii="Times New Roman" w:eastAsia="Times New Roman" w:hAnsi="Times New Roman" w:cs="Times New Roman"/>
      <w:sz w:val="44"/>
      <w:szCs w:val="20"/>
      <w:lang w:eastAsia="ru-RU"/>
    </w:rPr>
  </w:style>
  <w:style w:type="paragraph" w:customStyle="1" w:styleId="Iauiue">
    <w:name w:val="Iau?iue"/>
    <w:link w:val="Iauiue0"/>
    <w:uiPriority w:val="99"/>
    <w:rsid w:val="00D81EFA"/>
    <w:pPr>
      <w:autoSpaceDE w:val="0"/>
      <w:autoSpaceDN w:val="0"/>
      <w:spacing w:after="0" w:line="240" w:lineRule="auto"/>
    </w:pPr>
    <w:rPr>
      <w:rFonts w:ascii="UkrainianPeterburg" w:eastAsia="Times New Roman" w:hAnsi="UkrainianPeterburg" w:cs="UkrainianPeterburg"/>
      <w:sz w:val="24"/>
      <w:szCs w:val="24"/>
      <w:lang w:eastAsia="ru-RU"/>
    </w:rPr>
  </w:style>
  <w:style w:type="character" w:customStyle="1" w:styleId="Iauiue0">
    <w:name w:val="Iau?iue Знак"/>
    <w:basedOn w:val="a0"/>
    <w:link w:val="Iauiue"/>
    <w:uiPriority w:val="99"/>
    <w:locked/>
    <w:rsid w:val="00D81EFA"/>
    <w:rPr>
      <w:rFonts w:ascii="UkrainianPeterburg" w:eastAsia="Times New Roman" w:hAnsi="UkrainianPeterburg" w:cs="UkrainianPeterburg"/>
      <w:sz w:val="24"/>
      <w:szCs w:val="24"/>
      <w:lang w:eastAsia="ru-RU"/>
    </w:rPr>
  </w:style>
  <w:style w:type="paragraph" w:styleId="a9">
    <w:name w:val="Balloon Text"/>
    <w:basedOn w:val="a"/>
    <w:link w:val="aa"/>
    <w:uiPriority w:val="99"/>
    <w:semiHidden/>
    <w:unhideWhenUsed/>
    <w:rsid w:val="00D81E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1EFA"/>
    <w:rPr>
      <w:rFonts w:ascii="Tahoma" w:hAnsi="Tahoma" w:cs="Tahoma"/>
      <w:sz w:val="16"/>
      <w:szCs w:val="16"/>
    </w:rPr>
  </w:style>
  <w:style w:type="paragraph" w:styleId="ab">
    <w:name w:val="No Spacing"/>
    <w:uiPriority w:val="1"/>
    <w:rsid w:val="00F73804"/>
    <w:pPr>
      <w:suppressAutoHyphens/>
      <w:spacing w:after="0" w:line="240" w:lineRule="auto"/>
    </w:pPr>
    <w:rPr>
      <w:rFonts w:ascii="Calibri" w:eastAsia="Times New Roman" w:hAnsi="Calibri" w:cs="Calibri"/>
      <w:color w:val="00000A"/>
      <w:sz w:val="24"/>
      <w:lang w:val="ru-RU" w:eastAsia="zh-CN"/>
    </w:rPr>
  </w:style>
  <w:style w:type="character" w:styleId="ac">
    <w:name w:val="Hyperlink"/>
    <w:basedOn w:val="a0"/>
    <w:uiPriority w:val="99"/>
    <w:rsid w:val="006E2C7A"/>
    <w:rPr>
      <w:rFonts w:cs="Times New Roman"/>
      <w:color w:val="0000FF"/>
      <w:u w:val="single"/>
    </w:rPr>
  </w:style>
  <w:style w:type="character" w:customStyle="1" w:styleId="rvts44">
    <w:name w:val="rvts44"/>
    <w:basedOn w:val="a0"/>
    <w:uiPriority w:val="99"/>
    <w:rsid w:val="006E2C7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5" Type="http://schemas.openxmlformats.org/officeDocument/2006/relationships/hyperlink" Target="http://www.nerc.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7533</Words>
  <Characters>4295</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cygankov</dc:creator>
  <cp:lastModifiedBy>cygankov</cp:lastModifiedBy>
  <cp:revision>3</cp:revision>
  <cp:lastPrinted>2021-02-17T11:04:00Z</cp:lastPrinted>
  <dcterms:created xsi:type="dcterms:W3CDTF">2021-02-17T11:07:00Z</dcterms:created>
  <dcterms:modified xsi:type="dcterms:W3CDTF">2021-02-17T11:08:00Z</dcterms:modified>
</cp:coreProperties>
</file>