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4C" w:rsidRPr="006E0648" w:rsidRDefault="005A244C" w:rsidP="005A244C">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5A244C" w:rsidRDefault="005A244C" w:rsidP="005A244C">
      <w:pPr>
        <w:contextualSpacing/>
        <w:jc w:val="center"/>
        <w:rPr>
          <w:b/>
          <w:sz w:val="28"/>
          <w:szCs w:val="28"/>
        </w:rPr>
      </w:pPr>
      <w:r w:rsidRPr="006E0648">
        <w:rPr>
          <w:b/>
          <w:sz w:val="28"/>
          <w:szCs w:val="28"/>
        </w:rPr>
        <w:t>(відповідно до пункту 4</w:t>
      </w:r>
      <w:r w:rsidRPr="00F51372">
        <w:rPr>
          <w:b/>
          <w:sz w:val="28"/>
          <w:szCs w:val="28"/>
          <w:vertAlign w:val="superscript"/>
        </w:rPr>
        <w:t xml:space="preserve">1 </w:t>
      </w:r>
      <w:r w:rsidRPr="006E0648">
        <w:rPr>
          <w:b/>
          <w:sz w:val="28"/>
          <w:szCs w:val="28"/>
        </w:rPr>
        <w:t>постанови КМУ від 11.10.2016 № 710 «Про ефективне</w:t>
      </w:r>
      <w:r w:rsidR="00F51372" w:rsidRPr="00F51372">
        <w:rPr>
          <w:b/>
          <w:sz w:val="28"/>
          <w:szCs w:val="28"/>
          <w:lang w:val="ru-RU"/>
        </w:rPr>
        <w:t xml:space="preserve"> </w:t>
      </w:r>
      <w:r w:rsidRPr="006E0648">
        <w:rPr>
          <w:b/>
          <w:sz w:val="28"/>
          <w:szCs w:val="28"/>
        </w:rPr>
        <w:t>використання державних коштів» (зі змінами))</w:t>
      </w:r>
    </w:p>
    <w:p w:rsidR="005A244C" w:rsidRDefault="005A244C" w:rsidP="005A244C">
      <w:pPr>
        <w:contextualSpacing/>
        <w:jc w:val="center"/>
        <w:rPr>
          <w:b/>
          <w:sz w:val="28"/>
          <w:szCs w:val="28"/>
        </w:rPr>
      </w:pPr>
    </w:p>
    <w:p w:rsidR="005A244C" w:rsidRPr="006E0648" w:rsidRDefault="005A244C" w:rsidP="005A244C">
      <w:pPr>
        <w:contextualSpacing/>
        <w:jc w:val="center"/>
        <w:rPr>
          <w:b/>
          <w:sz w:val="28"/>
          <w:szCs w:val="28"/>
        </w:rPr>
      </w:pPr>
    </w:p>
    <w:p w:rsidR="005A244C" w:rsidRPr="006E0648" w:rsidRDefault="005A244C" w:rsidP="007D2BE5">
      <w:pPr>
        <w:ind w:firstLine="709"/>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w:t>
      </w:r>
      <w:r w:rsidR="000A3BF6">
        <w:rPr>
          <w:sz w:val="28"/>
          <w:szCs w:val="28"/>
        </w:rPr>
        <w:t xml:space="preserve"> </w:t>
      </w:r>
      <w:r w:rsidRPr="006E0648">
        <w:rPr>
          <w:sz w:val="28"/>
          <w:szCs w:val="28"/>
        </w:rPr>
        <w:t xml:space="preserve">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5A244C" w:rsidRPr="006E0648" w:rsidRDefault="005A244C" w:rsidP="007D2BE5">
      <w:pPr>
        <w:contextualSpacing/>
        <w:jc w:val="both"/>
        <w:rPr>
          <w:sz w:val="28"/>
          <w:szCs w:val="28"/>
        </w:rPr>
      </w:pPr>
    </w:p>
    <w:p w:rsidR="00CE1A1C" w:rsidRDefault="005A244C" w:rsidP="007D2BE5">
      <w:pPr>
        <w:ind w:firstLine="708"/>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з</w:t>
      </w:r>
      <w:r w:rsidR="00F51372">
        <w:rPr>
          <w:b/>
          <w:sz w:val="28"/>
          <w:szCs w:val="28"/>
        </w:rPr>
        <w:t>акупівлі (лотів) (за наявності)</w:t>
      </w:r>
      <w:r w:rsidRPr="006E0648">
        <w:rPr>
          <w:b/>
          <w:sz w:val="28"/>
          <w:szCs w:val="28"/>
        </w:rPr>
        <w:t xml:space="preserve">): </w:t>
      </w:r>
      <w:r>
        <w:rPr>
          <w:sz w:val="28"/>
          <w:szCs w:val="28"/>
        </w:rPr>
        <w:t>п</w:t>
      </w:r>
      <w:r w:rsidRPr="00A0247F">
        <w:rPr>
          <w:sz w:val="28"/>
          <w:szCs w:val="28"/>
        </w:rPr>
        <w:t xml:space="preserve">остачання </w:t>
      </w:r>
      <w:r>
        <w:rPr>
          <w:sz w:val="28"/>
          <w:szCs w:val="28"/>
        </w:rPr>
        <w:t>електричної</w:t>
      </w:r>
      <w:r w:rsidRPr="00A0247F">
        <w:rPr>
          <w:sz w:val="28"/>
          <w:szCs w:val="28"/>
        </w:rPr>
        <w:t xml:space="preserve"> енергії за адресою м. Київ, вул. Дегтярівська, 11-Г, </w:t>
      </w:r>
      <w:r w:rsidR="00F51372">
        <w:rPr>
          <w:sz w:val="28"/>
          <w:szCs w:val="28"/>
        </w:rPr>
        <w:br/>
      </w:r>
      <w:r w:rsidRPr="00A0247F">
        <w:rPr>
          <w:sz w:val="28"/>
          <w:szCs w:val="28"/>
        </w:rPr>
        <w:t>вул. Дегтярівська,</w:t>
      </w:r>
      <w:r>
        <w:rPr>
          <w:sz w:val="28"/>
          <w:szCs w:val="28"/>
        </w:rPr>
        <w:t xml:space="preserve"> </w:t>
      </w:r>
      <w:r w:rsidRPr="00A0247F">
        <w:rPr>
          <w:sz w:val="28"/>
          <w:szCs w:val="28"/>
        </w:rPr>
        <w:t>11</w:t>
      </w:r>
      <w:r>
        <w:rPr>
          <w:sz w:val="28"/>
          <w:szCs w:val="28"/>
        </w:rPr>
        <w:t>-</w:t>
      </w:r>
      <w:r w:rsidRPr="00A0247F">
        <w:rPr>
          <w:sz w:val="28"/>
          <w:szCs w:val="28"/>
        </w:rPr>
        <w:t>А, вул.</w:t>
      </w:r>
      <w:r>
        <w:rPr>
          <w:sz w:val="28"/>
          <w:szCs w:val="28"/>
        </w:rPr>
        <w:t xml:space="preserve"> </w:t>
      </w:r>
      <w:r w:rsidRPr="00A0247F">
        <w:rPr>
          <w:sz w:val="28"/>
          <w:szCs w:val="28"/>
        </w:rPr>
        <w:t>Саксаганського,</w:t>
      </w:r>
      <w:r>
        <w:rPr>
          <w:sz w:val="28"/>
          <w:szCs w:val="28"/>
        </w:rPr>
        <w:t xml:space="preserve"> </w:t>
      </w:r>
      <w:r w:rsidRPr="00A0247F">
        <w:rPr>
          <w:sz w:val="28"/>
          <w:szCs w:val="28"/>
        </w:rPr>
        <w:t>66</w:t>
      </w:r>
      <w:r>
        <w:rPr>
          <w:sz w:val="28"/>
          <w:szCs w:val="28"/>
        </w:rPr>
        <w:t xml:space="preserve">, Київська область, </w:t>
      </w:r>
      <w:r w:rsidR="00680907">
        <w:rPr>
          <w:sz w:val="28"/>
          <w:szCs w:val="28"/>
        </w:rPr>
        <w:t xml:space="preserve">Вишгородський район, </w:t>
      </w:r>
      <w:r>
        <w:rPr>
          <w:sz w:val="28"/>
          <w:szCs w:val="28"/>
        </w:rPr>
        <w:t>с. Лютіж,</w:t>
      </w:r>
      <w:r w:rsidR="00433776">
        <w:rPr>
          <w:sz w:val="28"/>
          <w:szCs w:val="28"/>
        </w:rPr>
        <w:t xml:space="preserve"> урочище Туровча 1 </w:t>
      </w:r>
      <w:r>
        <w:rPr>
          <w:sz w:val="28"/>
          <w:szCs w:val="28"/>
        </w:rPr>
        <w:t>(ДК 021:2015:09310000-5</w:t>
      </w:r>
      <w:r w:rsidR="00680907">
        <w:rPr>
          <w:sz w:val="28"/>
          <w:szCs w:val="28"/>
        </w:rPr>
        <w:t xml:space="preserve"> – електрична енергія</w:t>
      </w:r>
      <w:r>
        <w:rPr>
          <w:sz w:val="28"/>
          <w:szCs w:val="28"/>
        </w:rPr>
        <w:t>).</w:t>
      </w:r>
    </w:p>
    <w:p w:rsidR="005A244C" w:rsidRDefault="005A244C" w:rsidP="007D2BE5">
      <w:pPr>
        <w:ind w:firstLine="708"/>
        <w:contextualSpacing/>
        <w:jc w:val="both"/>
        <w:rPr>
          <w:sz w:val="28"/>
          <w:szCs w:val="28"/>
        </w:rPr>
      </w:pPr>
    </w:p>
    <w:p w:rsidR="005A244C" w:rsidRDefault="005A244C" w:rsidP="007D2BE5">
      <w:pPr>
        <w:ind w:firstLine="709"/>
        <w:contextualSpacing/>
        <w:jc w:val="both"/>
        <w:rPr>
          <w:b/>
          <w:sz w:val="28"/>
          <w:szCs w:val="28"/>
        </w:rPr>
      </w:pPr>
      <w:r w:rsidRPr="006E0648">
        <w:rPr>
          <w:b/>
          <w:sz w:val="28"/>
          <w:szCs w:val="28"/>
        </w:rPr>
        <w:t xml:space="preserve">3. Ідентифікатор закупівлі: — </w:t>
      </w:r>
      <w:r w:rsidR="00F51372" w:rsidRPr="00F51372">
        <w:rPr>
          <w:b/>
          <w:sz w:val="28"/>
          <w:szCs w:val="28"/>
        </w:rPr>
        <w:t>UA-2021-04-23-007053-b</w:t>
      </w:r>
    </w:p>
    <w:p w:rsidR="005A244C" w:rsidRDefault="005A244C" w:rsidP="007D2BE5">
      <w:pPr>
        <w:ind w:firstLine="709"/>
        <w:contextualSpacing/>
        <w:jc w:val="both"/>
        <w:rPr>
          <w:b/>
          <w:sz w:val="28"/>
          <w:szCs w:val="28"/>
        </w:rPr>
      </w:pPr>
    </w:p>
    <w:p w:rsidR="005A244C" w:rsidRDefault="005A244C" w:rsidP="007D2BE5">
      <w:pPr>
        <w:ind w:firstLine="709"/>
        <w:contextualSpacing/>
        <w:jc w:val="both"/>
        <w:rPr>
          <w:sz w:val="28"/>
          <w:szCs w:val="28"/>
        </w:rPr>
      </w:pPr>
      <w:r w:rsidRPr="003B0DE6">
        <w:rPr>
          <w:b/>
          <w:sz w:val="28"/>
          <w:szCs w:val="28"/>
        </w:rPr>
        <w:t>4. Обґрунтування технічних та якісних характеристик предмета закупівлі:</w:t>
      </w:r>
      <w:r w:rsidRPr="003B0DE6">
        <w:t xml:space="preserve"> </w:t>
      </w:r>
      <w:r w:rsidRPr="00A0247F">
        <w:rPr>
          <w:sz w:val="28"/>
          <w:szCs w:val="28"/>
        </w:rPr>
        <w:t>технічні та якісні характеристики предмета закупівлі визначені відповідно до потреб замовника та з урахуванням</w:t>
      </w:r>
      <w:r w:rsidR="00F51372" w:rsidRPr="00F51372">
        <w:rPr>
          <w:sz w:val="28"/>
          <w:szCs w:val="28"/>
        </w:rPr>
        <w:t xml:space="preserve"> </w:t>
      </w:r>
      <w:r w:rsidRPr="00A0247F">
        <w:rPr>
          <w:sz w:val="28"/>
          <w:szCs w:val="28"/>
        </w:rPr>
        <w:t>вимог нормативних до</w:t>
      </w:r>
      <w:r w:rsidR="00433776">
        <w:rPr>
          <w:sz w:val="28"/>
          <w:szCs w:val="28"/>
        </w:rPr>
        <w:t>кументів у сфері електропостачання</w:t>
      </w:r>
      <w:r w:rsidRPr="00A0247F">
        <w:rPr>
          <w:sz w:val="28"/>
          <w:szCs w:val="28"/>
        </w:rPr>
        <w:t>.</w:t>
      </w:r>
    </w:p>
    <w:p w:rsidR="005A244C" w:rsidRPr="005A244C" w:rsidRDefault="005A244C" w:rsidP="007D2BE5">
      <w:pPr>
        <w:ind w:firstLine="709"/>
        <w:contextualSpacing/>
        <w:jc w:val="both"/>
      </w:pPr>
    </w:p>
    <w:p w:rsidR="003D4E4F" w:rsidRDefault="005A244C" w:rsidP="007D2BE5">
      <w:pPr>
        <w:ind w:firstLine="709"/>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визначено </w:t>
      </w:r>
      <w:r w:rsidR="00680907">
        <w:rPr>
          <w:sz w:val="28"/>
          <w:szCs w:val="28"/>
        </w:rPr>
        <w:t xml:space="preserve">за результатом аналізу вартості предмета закупівлі </w:t>
      </w:r>
      <w:r w:rsidR="003D4E4F">
        <w:rPr>
          <w:sz w:val="28"/>
          <w:szCs w:val="28"/>
        </w:rPr>
        <w:t>згідно з діючими тарифами та</w:t>
      </w:r>
      <w:r w:rsidR="003D4E4F" w:rsidRPr="003D4E4F">
        <w:rPr>
          <w:sz w:val="28"/>
          <w:szCs w:val="28"/>
        </w:rPr>
        <w:t xml:space="preserve"> </w:t>
      </w:r>
      <w:r w:rsidR="003D4E4F">
        <w:rPr>
          <w:sz w:val="28"/>
          <w:szCs w:val="28"/>
        </w:rPr>
        <w:t>відповідно до розрахунку до кошторису на 2021 рік</w:t>
      </w:r>
      <w:r w:rsidR="003D4E4F" w:rsidRPr="003D4E4F">
        <w:rPr>
          <w:sz w:val="28"/>
          <w:szCs w:val="28"/>
          <w:lang w:val="ru-RU"/>
        </w:rPr>
        <w:t>.</w:t>
      </w:r>
    </w:p>
    <w:p w:rsidR="003D4E4F" w:rsidRDefault="003D4E4F" w:rsidP="007D2BE5">
      <w:pPr>
        <w:ind w:firstLine="709"/>
        <w:contextualSpacing/>
        <w:jc w:val="both"/>
        <w:rPr>
          <w:sz w:val="28"/>
          <w:szCs w:val="28"/>
        </w:rPr>
      </w:pPr>
    </w:p>
    <w:p w:rsidR="005A244C" w:rsidRDefault="000A3BF6" w:rsidP="007D2BE5">
      <w:pPr>
        <w:ind w:firstLine="708"/>
        <w:contextualSpacing/>
        <w:jc w:val="both"/>
        <w:rPr>
          <w:sz w:val="28"/>
          <w:szCs w:val="28"/>
        </w:rPr>
      </w:pPr>
      <w:r w:rsidRPr="001C0596">
        <w:rPr>
          <w:b/>
          <w:sz w:val="28"/>
          <w:szCs w:val="28"/>
        </w:rPr>
        <w:t>6. Очікувана вартість предмета закупівлі:</w:t>
      </w:r>
      <w:r>
        <w:rPr>
          <w:b/>
          <w:sz w:val="28"/>
          <w:szCs w:val="28"/>
        </w:rPr>
        <w:t xml:space="preserve"> </w:t>
      </w:r>
      <w:r w:rsidRPr="000A3BF6">
        <w:rPr>
          <w:sz w:val="28"/>
          <w:szCs w:val="28"/>
        </w:rPr>
        <w:t>860 435,69</w:t>
      </w:r>
      <w:r>
        <w:rPr>
          <w:sz w:val="28"/>
          <w:szCs w:val="28"/>
        </w:rPr>
        <w:t xml:space="preserve"> (вісімсот шістдесят тисяч чотириста тридцять п’ять гривень 69 коп)</w:t>
      </w:r>
    </w:p>
    <w:p w:rsidR="004430F9" w:rsidRPr="004430F9" w:rsidRDefault="004430F9" w:rsidP="007D2BE5">
      <w:pPr>
        <w:ind w:firstLine="708"/>
        <w:contextualSpacing/>
        <w:jc w:val="both"/>
        <w:rPr>
          <w:sz w:val="28"/>
          <w:szCs w:val="28"/>
        </w:rPr>
      </w:pPr>
      <w:r w:rsidRPr="004430F9">
        <w:rPr>
          <w:sz w:val="28"/>
          <w:szCs w:val="28"/>
        </w:rPr>
        <w:t xml:space="preserve">Лот-1 Постачання електричної енергії за адресою: м. Київ, </w:t>
      </w:r>
      <w:r w:rsidR="003D4E4F">
        <w:rPr>
          <w:sz w:val="28"/>
          <w:szCs w:val="28"/>
        </w:rPr>
        <w:br/>
      </w:r>
      <w:r w:rsidRPr="004430F9">
        <w:rPr>
          <w:sz w:val="28"/>
          <w:szCs w:val="28"/>
        </w:rPr>
        <w:t>вул. Дегтярівська, 11г -266 084,36 кВт - 764 087,85 грн. (сі</w:t>
      </w:r>
      <w:r w:rsidR="00680907">
        <w:rPr>
          <w:sz w:val="28"/>
          <w:szCs w:val="28"/>
        </w:rPr>
        <w:t>мсот шістдесят чотири тисячі, вісімдесят сім</w:t>
      </w:r>
      <w:r w:rsidRPr="004430F9">
        <w:rPr>
          <w:sz w:val="28"/>
          <w:szCs w:val="28"/>
        </w:rPr>
        <w:t xml:space="preserve"> гривень 85 коп)</w:t>
      </w:r>
    </w:p>
    <w:p w:rsidR="004430F9" w:rsidRPr="004430F9" w:rsidRDefault="004430F9" w:rsidP="007D2BE5">
      <w:pPr>
        <w:ind w:firstLine="708"/>
        <w:contextualSpacing/>
        <w:jc w:val="both"/>
        <w:rPr>
          <w:sz w:val="28"/>
          <w:szCs w:val="28"/>
        </w:rPr>
      </w:pPr>
      <w:r w:rsidRPr="004430F9">
        <w:rPr>
          <w:sz w:val="28"/>
          <w:szCs w:val="28"/>
        </w:rPr>
        <w:t xml:space="preserve">Лот-2 Постачання електричної енергії за адресою: м. Київ, </w:t>
      </w:r>
      <w:r w:rsidR="003D4E4F">
        <w:rPr>
          <w:sz w:val="28"/>
          <w:szCs w:val="28"/>
        </w:rPr>
        <w:br/>
      </w:r>
      <w:r w:rsidRPr="004430F9">
        <w:rPr>
          <w:sz w:val="28"/>
          <w:szCs w:val="28"/>
        </w:rPr>
        <w:t>вул. Дегтярівська, 11а – 13 440,00 кВт - 38 594,30 грн. (тридцять вісім тисяч п’ятсот дев’яносто чотири гривні 30 коп)</w:t>
      </w:r>
    </w:p>
    <w:p w:rsidR="004430F9" w:rsidRPr="004430F9" w:rsidRDefault="004430F9" w:rsidP="007D2BE5">
      <w:pPr>
        <w:ind w:firstLine="708"/>
        <w:contextualSpacing/>
        <w:jc w:val="both"/>
        <w:rPr>
          <w:sz w:val="28"/>
          <w:szCs w:val="28"/>
        </w:rPr>
      </w:pPr>
      <w:r w:rsidRPr="004430F9">
        <w:rPr>
          <w:sz w:val="28"/>
          <w:szCs w:val="28"/>
        </w:rPr>
        <w:t xml:space="preserve">Лот-3 Постачання електричної енергії за адресою: м. Київ, </w:t>
      </w:r>
      <w:r w:rsidR="003D4E4F">
        <w:rPr>
          <w:sz w:val="28"/>
          <w:szCs w:val="28"/>
        </w:rPr>
        <w:br/>
      </w:r>
      <w:r w:rsidRPr="004430F9">
        <w:rPr>
          <w:sz w:val="28"/>
          <w:szCs w:val="28"/>
        </w:rPr>
        <w:t>вул. Саксаганського, 66 – 11 520,00 кВт - 33 080,83 грн. (тридцять три тисячі вісімдесят гривень, 83 коп)</w:t>
      </w:r>
    </w:p>
    <w:p w:rsidR="004430F9" w:rsidRPr="004430F9" w:rsidRDefault="004430F9" w:rsidP="007D2BE5">
      <w:pPr>
        <w:contextualSpacing/>
        <w:rPr>
          <w:sz w:val="28"/>
          <w:szCs w:val="28"/>
        </w:rPr>
      </w:pPr>
    </w:p>
    <w:p w:rsidR="004430F9" w:rsidRDefault="004430F9" w:rsidP="007D2BE5">
      <w:pPr>
        <w:ind w:firstLine="708"/>
        <w:contextualSpacing/>
        <w:jc w:val="both"/>
        <w:rPr>
          <w:sz w:val="28"/>
          <w:szCs w:val="28"/>
        </w:rPr>
      </w:pPr>
      <w:r w:rsidRPr="004430F9">
        <w:rPr>
          <w:sz w:val="28"/>
          <w:szCs w:val="28"/>
        </w:rPr>
        <w:lastRenderedPageBreak/>
        <w:t xml:space="preserve">Лот-4 Постачання електричної енергії за адресою: Київська обл., Вишгородський р-н. с. Лютіж, Урочище Туровча 1 – 6 720,00 кВт - 24 672,71 грн. </w:t>
      </w:r>
      <w:r w:rsidR="006E2329" w:rsidRPr="004430F9">
        <w:rPr>
          <w:sz w:val="28"/>
          <w:szCs w:val="28"/>
        </w:rPr>
        <w:t>(двадцять чотири тисячі шістсот сімдесят дві гривні 71 коп)</w:t>
      </w:r>
      <w:r w:rsidRPr="004430F9">
        <w:rPr>
          <w:sz w:val="28"/>
          <w:szCs w:val="28"/>
        </w:rPr>
        <w:t>.</w:t>
      </w:r>
    </w:p>
    <w:p w:rsidR="003D4E4F" w:rsidRDefault="003D4E4F" w:rsidP="007D2BE5">
      <w:pPr>
        <w:ind w:firstLine="708"/>
        <w:contextualSpacing/>
        <w:jc w:val="both"/>
        <w:rPr>
          <w:sz w:val="28"/>
          <w:szCs w:val="28"/>
        </w:rPr>
      </w:pPr>
    </w:p>
    <w:p w:rsidR="006E2329" w:rsidRDefault="006E2329" w:rsidP="007D2BE5">
      <w:pPr>
        <w:ind w:firstLine="709"/>
        <w:contextualSpacing/>
        <w:jc w:val="both"/>
      </w:pPr>
      <w:r w:rsidRPr="00507818">
        <w:rPr>
          <w:b/>
          <w:sz w:val="28"/>
          <w:szCs w:val="28"/>
        </w:rPr>
        <w:t>7. Обґрунтування очікуваної вартості предмета закупівлі:</w:t>
      </w:r>
      <w:r>
        <w:t xml:space="preserve"> </w:t>
      </w:r>
    </w:p>
    <w:p w:rsidR="003D4E4F" w:rsidRDefault="003D4E4F" w:rsidP="007D2BE5">
      <w:pPr>
        <w:ind w:firstLine="709"/>
        <w:contextualSpacing/>
        <w:jc w:val="both"/>
      </w:pPr>
    </w:p>
    <w:p w:rsidR="007C3317" w:rsidRPr="007C3317" w:rsidRDefault="003D4E4F" w:rsidP="007C3317">
      <w:pPr>
        <w:tabs>
          <w:tab w:val="left" w:pos="851"/>
        </w:tabs>
        <w:ind w:firstLine="709"/>
        <w:jc w:val="both"/>
        <w:rPr>
          <w:sz w:val="28"/>
          <w:szCs w:val="28"/>
          <w:lang w:eastAsia="ru-RU"/>
        </w:rPr>
      </w:pPr>
      <w:r w:rsidRPr="007C3317">
        <w:rPr>
          <w:sz w:val="28"/>
          <w:szCs w:val="28"/>
          <w:lang w:eastAsia="ru-RU"/>
        </w:rPr>
        <w:t>Очікувана вартість предмета закупівлі розрахована відповідно до Граничних тарифів.</w:t>
      </w:r>
      <w:r w:rsidR="007C3317" w:rsidRPr="007C3317">
        <w:rPr>
          <w:sz w:val="28"/>
          <w:szCs w:val="28"/>
          <w:lang w:eastAsia="ru-RU"/>
        </w:rPr>
        <w:t xml:space="preserve"> </w:t>
      </w:r>
    </w:p>
    <w:p w:rsidR="007C3317" w:rsidRPr="007C3317" w:rsidRDefault="007C3317" w:rsidP="007C3317">
      <w:pPr>
        <w:tabs>
          <w:tab w:val="left" w:pos="851"/>
        </w:tabs>
        <w:ind w:firstLine="709"/>
        <w:jc w:val="both"/>
        <w:rPr>
          <w:sz w:val="28"/>
          <w:szCs w:val="28"/>
        </w:rPr>
      </w:pPr>
      <w:r w:rsidRPr="007C3317">
        <w:rPr>
          <w:sz w:val="28"/>
          <w:szCs w:val="28"/>
        </w:rPr>
        <w:t>Орієнтовний обсяг закупівлі (постачання) на квітень-травень 2021 року –  297 764,36  кВт*год. Тариф на момент проведення переговорів-</w:t>
      </w:r>
      <w:r w:rsidRPr="007C3317">
        <w:rPr>
          <w:sz w:val="26"/>
          <w:szCs w:val="26"/>
        </w:rPr>
        <w:t xml:space="preserve"> </w:t>
      </w:r>
      <w:r w:rsidRPr="007C3317">
        <w:rPr>
          <w:sz w:val="28"/>
          <w:szCs w:val="28"/>
        </w:rPr>
        <w:t xml:space="preserve">для м. Києва 2,87160 грн. /кВт (з ПДВ); для Київської області 3,61190 грн. /кВт (з ПДВ) – на квітень 2021; 3,73117 грн. /кВт (з ПДВ) – на травень 2021. </w:t>
      </w:r>
    </w:p>
    <w:p w:rsidR="007C3317" w:rsidRDefault="007C3317" w:rsidP="007C3317">
      <w:pPr>
        <w:tabs>
          <w:tab w:val="left" w:pos="851"/>
        </w:tabs>
        <w:ind w:firstLine="709"/>
        <w:jc w:val="both"/>
        <w:rPr>
          <w:sz w:val="28"/>
          <w:szCs w:val="28"/>
        </w:rPr>
      </w:pPr>
      <w:r w:rsidRPr="007C3317">
        <w:rPr>
          <w:sz w:val="28"/>
          <w:szCs w:val="28"/>
        </w:rPr>
        <w:t>Загальна вартість закупівлі становить 860 435, 69 ((вісімсот шістдесят тисяч чотириста тридцять п’ять гривень 69 коп.)</w:t>
      </w:r>
      <w:r w:rsidRPr="007C3317">
        <w:rPr>
          <w:sz w:val="28"/>
          <w:szCs w:val="28"/>
          <w:lang w:eastAsia="ru-RU"/>
        </w:rPr>
        <w:t>, що відповідає розміру бюджетного призначення.</w:t>
      </w:r>
    </w:p>
    <w:p w:rsidR="007C3317" w:rsidRDefault="007C3317" w:rsidP="007C3317">
      <w:pPr>
        <w:ind w:firstLine="708"/>
        <w:contextualSpacing/>
        <w:jc w:val="both"/>
        <w:rPr>
          <w:sz w:val="28"/>
          <w:szCs w:val="28"/>
        </w:rPr>
      </w:pPr>
    </w:p>
    <w:p w:rsidR="003D4E4F" w:rsidRDefault="003D4E4F" w:rsidP="007D2BE5">
      <w:pPr>
        <w:ind w:firstLine="709"/>
        <w:contextualSpacing/>
        <w:jc w:val="both"/>
      </w:pPr>
    </w:p>
    <w:p w:rsidR="003D4E4F" w:rsidRDefault="00554A24" w:rsidP="00680907">
      <w:pPr>
        <w:ind w:firstLine="709"/>
        <w:contextualSpacing/>
        <w:jc w:val="both"/>
      </w:pPr>
      <w:r w:rsidRPr="00507818">
        <w:rPr>
          <w:b/>
          <w:sz w:val="28"/>
          <w:szCs w:val="28"/>
        </w:rPr>
        <w:t>8. Процедура закупівлі:</w:t>
      </w:r>
      <w:r>
        <w:t xml:space="preserve"> </w:t>
      </w:r>
    </w:p>
    <w:p w:rsidR="003D4E4F" w:rsidRDefault="003D4E4F" w:rsidP="00680907">
      <w:pPr>
        <w:ind w:firstLine="709"/>
        <w:contextualSpacing/>
        <w:jc w:val="both"/>
      </w:pPr>
    </w:p>
    <w:p w:rsidR="007C3317" w:rsidRPr="000F4372" w:rsidRDefault="00554A24" w:rsidP="00680907">
      <w:pPr>
        <w:ind w:firstLine="709"/>
        <w:contextualSpacing/>
        <w:jc w:val="both"/>
        <w:rPr>
          <w:sz w:val="28"/>
          <w:szCs w:val="28"/>
        </w:rPr>
      </w:pPr>
      <w:r w:rsidRPr="000F4372">
        <w:rPr>
          <w:sz w:val="28"/>
          <w:szCs w:val="28"/>
        </w:rPr>
        <w:t xml:space="preserve">Переговорна процедура (скорочена), що застосовується відповідно до </w:t>
      </w:r>
      <w:r w:rsidR="007C3317" w:rsidRPr="000F4372">
        <w:rPr>
          <w:rStyle w:val="a3"/>
          <w:b w:val="0"/>
          <w:sz w:val="28"/>
          <w:szCs w:val="28"/>
        </w:rPr>
        <w:t>п. 2 частини другої статті 40 Закону України «Про публічні закупівлі» 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відсутності конкуренції з технічних причин.</w:t>
      </w:r>
    </w:p>
    <w:p w:rsidR="003B05C9" w:rsidRPr="003B05C9" w:rsidRDefault="003B05C9" w:rsidP="003B05C9">
      <w:pPr>
        <w:ind w:firstLine="709"/>
        <w:contextualSpacing/>
        <w:jc w:val="both"/>
        <w:rPr>
          <w:sz w:val="28"/>
          <w:szCs w:val="28"/>
        </w:rPr>
      </w:pPr>
      <w:r w:rsidRPr="000F4372">
        <w:rPr>
          <w:sz w:val="28"/>
          <w:szCs w:val="28"/>
        </w:rPr>
        <w:t xml:space="preserve">Керуючись </w:t>
      </w:r>
      <w:r w:rsidRPr="000F4372">
        <w:rPr>
          <w:rStyle w:val="a3"/>
          <w:b w:val="0"/>
          <w:sz w:val="28"/>
          <w:szCs w:val="28"/>
        </w:rPr>
        <w:t xml:space="preserve">постановою Кабінету Міністрів України </w:t>
      </w:r>
      <w:r w:rsidRPr="000F4372">
        <w:rPr>
          <w:rStyle w:val="a3"/>
          <w:b w:val="0"/>
          <w:sz w:val="28"/>
          <w:szCs w:val="28"/>
        </w:rPr>
        <w:br/>
      </w:r>
      <w:r w:rsidRPr="00680907">
        <w:rPr>
          <w:rStyle w:val="a3"/>
          <w:b w:val="0"/>
          <w:sz w:val="28"/>
          <w:szCs w:val="28"/>
        </w:rPr>
        <w:t>від 31 березня 2021 року № 272 «Про внесення змін до переліку товарів, робіт і послуг, необхідних для здійснення заходів, спрямованих на запобігання виникненню та поширенню, локалізацію та ліквідацію спалахів, епідемій та пандемій гострої респіраторної хвороби COVID-19, спричиненої коронавірусом SARS-CoV-2, на території України» (надалі – Постанова КМУ) бюджетним організаціям, які не встигли обрати електропостачальника, надано право без проведення тендерних процедур із закупівлі електроенергії, укладати договори на постачання електроенергії за ціною, що не перевищує ціну універсальної послуги для малих непобутових споживачів (з урахуванням послуг з передачі та розподілу</w:t>
      </w:r>
      <w:r w:rsidRPr="003B05C9">
        <w:rPr>
          <w:rStyle w:val="a3"/>
          <w:sz w:val="28"/>
          <w:szCs w:val="28"/>
        </w:rPr>
        <w:t>) з постачальником універсальної послуги на відповідній території</w:t>
      </w:r>
      <w:r>
        <w:rPr>
          <w:rStyle w:val="a3"/>
          <w:sz w:val="28"/>
          <w:szCs w:val="28"/>
        </w:rPr>
        <w:t>.</w:t>
      </w:r>
    </w:p>
    <w:p w:rsidR="003B05C9" w:rsidRPr="003B05C9" w:rsidRDefault="003B05C9" w:rsidP="003B05C9">
      <w:pPr>
        <w:ind w:firstLine="709"/>
        <w:contextualSpacing/>
        <w:jc w:val="both"/>
        <w:rPr>
          <w:sz w:val="28"/>
        </w:rPr>
      </w:pPr>
      <w:r>
        <w:rPr>
          <w:sz w:val="28"/>
        </w:rPr>
        <w:t xml:space="preserve">В той же час, </w:t>
      </w:r>
      <w:r w:rsidR="000F4372">
        <w:rPr>
          <w:sz w:val="28"/>
        </w:rPr>
        <w:t xml:space="preserve">слід зазначити, що </w:t>
      </w:r>
      <w:r>
        <w:rPr>
          <w:sz w:val="28"/>
        </w:rPr>
        <w:t>п</w:t>
      </w:r>
      <w:r w:rsidRPr="003B05C9">
        <w:rPr>
          <w:sz w:val="28"/>
        </w:rPr>
        <w:t xml:space="preserve">равові, економічні та організаційні засади функціонування ринку електричної енергії, відносини, пов’язані з виробництвом, передачею, розподілом, купівлею-продажем, постачанням електричної енергії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 визначає Закон України «Про ринок електричної енергії» (далі – Закон). </w:t>
      </w:r>
    </w:p>
    <w:p w:rsidR="003B05C9" w:rsidRPr="003B05C9" w:rsidRDefault="003B05C9" w:rsidP="003B05C9">
      <w:pPr>
        <w:ind w:firstLine="709"/>
        <w:contextualSpacing/>
        <w:jc w:val="both"/>
        <w:rPr>
          <w:sz w:val="28"/>
        </w:rPr>
      </w:pPr>
      <w:r w:rsidRPr="003B05C9">
        <w:rPr>
          <w:sz w:val="28"/>
        </w:rPr>
        <w:t xml:space="preserve">Стаття 63 Закону визначає </w:t>
      </w:r>
      <w:r w:rsidRPr="003B05C9">
        <w:rPr>
          <w:b/>
          <w:sz w:val="28"/>
        </w:rPr>
        <w:t>засади діяльності постачальника універсальних послуг.</w:t>
      </w:r>
      <w:r w:rsidRPr="003B05C9">
        <w:rPr>
          <w:sz w:val="28"/>
        </w:rPr>
        <w:t xml:space="preserve"> Відповідно до частини 2 статті 63 Закону у межах території здійснення діяльності одного постачальника універсальних послуг не </w:t>
      </w:r>
      <w:r w:rsidRPr="003B05C9">
        <w:rPr>
          <w:sz w:val="28"/>
        </w:rPr>
        <w:lastRenderedPageBreak/>
        <w:t>допускається здійснення діяльності іншими постачальниками універсальних послуг.</w:t>
      </w:r>
    </w:p>
    <w:p w:rsidR="003B05C9" w:rsidRPr="003B05C9" w:rsidRDefault="003B05C9" w:rsidP="003B05C9">
      <w:pPr>
        <w:ind w:firstLine="709"/>
        <w:contextualSpacing/>
        <w:jc w:val="both"/>
        <w:rPr>
          <w:sz w:val="28"/>
        </w:rPr>
      </w:pPr>
      <w:r w:rsidRPr="003B05C9">
        <w:rPr>
          <w:sz w:val="28"/>
        </w:rPr>
        <w:t xml:space="preserve">Відповідно до частини 3 статті 63 Закону 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 на послуги оператора системи передачі та оператора системи розподілу відповідно до укладених договорів про надання відповідних послуг. </w:t>
      </w:r>
    </w:p>
    <w:p w:rsidR="003B05C9" w:rsidRPr="003B05C9" w:rsidRDefault="003B05C9" w:rsidP="003B05C9">
      <w:pPr>
        <w:ind w:firstLine="709"/>
        <w:contextualSpacing/>
        <w:jc w:val="both"/>
        <w:rPr>
          <w:sz w:val="28"/>
        </w:rPr>
      </w:pPr>
      <w:r w:rsidRPr="003B05C9">
        <w:rPr>
          <w:sz w:val="28"/>
        </w:rPr>
        <w:t xml:space="preserve">Частиною 4 статті 63 Закону визначено, що 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постачання універсальних послуг. Відповідно до абзацу 2 пункту 3.1.1 Правил роздрібного ринку електричної енергії, затверджених Постановою НКРЕКП 14.03.2018 № 312, місцем провадження господарської діяльності електропостачальника є територія України, крім постачальників універсальної послуги та постачальників «останньої надії», для яких місцем провадження господарської діяльності є територія, визначена в умовах конкурсу, проведеного у порядку, встановленому Кабінетом Міністрів України. У межах території діяльності одного постачальника універсальних послуг або постачальника «останньої надії» не допускається здійснення діяльності іншими постачальниками універсальних послуг або постачальниками «останньої надії» відповідно. </w:t>
      </w:r>
    </w:p>
    <w:p w:rsidR="003B05C9" w:rsidRPr="003B05C9" w:rsidRDefault="003B05C9" w:rsidP="003B05C9">
      <w:pPr>
        <w:ind w:firstLine="709"/>
        <w:contextualSpacing/>
        <w:jc w:val="both"/>
        <w:rPr>
          <w:sz w:val="28"/>
        </w:rPr>
      </w:pPr>
      <w:r w:rsidRPr="003B05C9">
        <w:rPr>
          <w:sz w:val="28"/>
        </w:rPr>
        <w:t xml:space="preserve">Абзацами 2, 4 пункту 13 Прикінцевих та перехідних положень Закону передбачено, </w:t>
      </w:r>
      <w:r w:rsidRPr="003B05C9">
        <w:rPr>
          <w:b/>
          <w:sz w:val="28"/>
        </w:rPr>
        <w:t>що з метою забезпечення надійного та безперервного постачання електричної енергії побутовим та малим непобутовим споживачам</w:t>
      </w:r>
      <w:r w:rsidRPr="003B05C9">
        <w:rPr>
          <w:sz w:val="28"/>
        </w:rPr>
        <w:t xml:space="preserve"> </w:t>
      </w:r>
      <w:r w:rsidRPr="003B05C9">
        <w:rPr>
          <w:sz w:val="28"/>
          <w:u w:val="single"/>
        </w:rPr>
        <w:t>відокремлення оператора системи розподілу,</w:t>
      </w:r>
      <w:r w:rsidRPr="003B05C9">
        <w:rPr>
          <w:sz w:val="28"/>
        </w:rPr>
        <w:t xml:space="preserve"> кількість приєднаних споживачів до системи розподілу якого перевищує 100 тисяч, здійснюється з урахуванням вимог цього пункту, а саме</w:t>
      </w:r>
      <w:r w:rsidRPr="003B05C9">
        <w:rPr>
          <w:sz w:val="28"/>
          <w:u w:val="single"/>
        </w:rPr>
        <w:t>: упродовж трьох років 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w:t>
      </w:r>
      <w:r w:rsidRPr="003B05C9">
        <w:rPr>
          <w:sz w:val="28"/>
        </w:rPr>
        <w:t xml:space="preserve">,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 </w:t>
      </w:r>
    </w:p>
    <w:p w:rsidR="003B05C9" w:rsidRPr="003B05C9" w:rsidRDefault="003B05C9" w:rsidP="003B05C9">
      <w:pPr>
        <w:ind w:firstLine="709"/>
        <w:contextualSpacing/>
        <w:jc w:val="both"/>
        <w:rPr>
          <w:sz w:val="28"/>
        </w:rPr>
      </w:pPr>
      <w:r w:rsidRPr="003B05C9">
        <w:rPr>
          <w:sz w:val="28"/>
        </w:rPr>
        <w:t>Відповідно до інформації Національної комісії, що здійснює державне регулювання у сферах енергетики та комунальних послуг, оприлюдненої на офіційному веб-сайті НКРЕКП за посиланням</w:t>
      </w:r>
      <w:r>
        <w:rPr>
          <w:sz w:val="28"/>
        </w:rPr>
        <w:t xml:space="preserve"> </w:t>
      </w:r>
      <w:r w:rsidRPr="003B05C9">
        <w:rPr>
          <w:sz w:val="28"/>
        </w:rPr>
        <w:t xml:space="preserve">http://www.nerc.gov.ua/?news=7842, станом на 1 серпня 2018 року на виконання Закону вертикально інтегрованими суб’єктами господарювання було створено відповідні суб’єкти господарювання, які отримали ліцензії з постачання електричної енергії споживачу, відповідно до вимог постанови НКРЕКП від 27.12.2017 № 1469, та які упродовж двох років виконують функції постачальника універсальних послуг на закріпленій території. </w:t>
      </w:r>
    </w:p>
    <w:p w:rsidR="003B05C9" w:rsidRPr="003B05C9" w:rsidRDefault="003B05C9" w:rsidP="003B05C9">
      <w:pPr>
        <w:ind w:firstLine="709"/>
        <w:contextualSpacing/>
        <w:jc w:val="both"/>
        <w:rPr>
          <w:b/>
          <w:sz w:val="28"/>
        </w:rPr>
      </w:pPr>
      <w:r w:rsidRPr="003B05C9">
        <w:rPr>
          <w:sz w:val="28"/>
        </w:rPr>
        <w:lastRenderedPageBreak/>
        <w:t xml:space="preserve">Згідно з переліком суб’єктів господарювання, створених у результаті здійснення заходів з відокремлення, </w:t>
      </w:r>
      <w:r w:rsidRPr="003B05C9">
        <w:rPr>
          <w:b/>
          <w:sz w:val="28"/>
        </w:rPr>
        <w:t>функцію постачальника універсальних послуг на території  м. Києва покладено на ТОВ «КИЇВСЬКІ ЕНЕРГЕТИЧНІ ПОСЛУГИ», на території  Київської області - на ТОВ «КИЇВСЬКА ОБЛАСНА ЕНЕРГОПОСТАЧАЛЬНА КОМПАНІЯ».</w:t>
      </w:r>
    </w:p>
    <w:p w:rsidR="007C3317" w:rsidRDefault="003B05C9" w:rsidP="003B05C9">
      <w:pPr>
        <w:ind w:firstLine="709"/>
        <w:contextualSpacing/>
        <w:jc w:val="both"/>
        <w:rPr>
          <w:sz w:val="28"/>
        </w:rPr>
      </w:pPr>
      <w:r w:rsidRPr="003B05C9">
        <w:rPr>
          <w:sz w:val="28"/>
        </w:rPr>
        <w:t>Враховуючи вищевикладене, постачати електричну енергію для потреб Держмитслужби може виключно постачальник універсальних послуг, який здійснює свою діял</w:t>
      </w:r>
      <w:r w:rsidR="000F4372">
        <w:rPr>
          <w:sz w:val="28"/>
        </w:rPr>
        <w:t xml:space="preserve">ьність на території м. Києва, тобто </w:t>
      </w:r>
      <w:r w:rsidRPr="003B05C9">
        <w:rPr>
          <w:sz w:val="28"/>
        </w:rPr>
        <w:t>ТОВ «КИЇВСЬКІ ЕНЕРГЕТИЧНІ ПОСЛУГИ» та на території  Київської області - ТОВ «КИЇВСЬКА ОБЛАСНА ЕНЕРГОПОСТАЧАЛЬНА КОМПАНІЯ».</w:t>
      </w:r>
    </w:p>
    <w:p w:rsidR="00C20A98" w:rsidRDefault="003B05C9" w:rsidP="00C20A98">
      <w:pPr>
        <w:ind w:firstLine="709"/>
        <w:contextualSpacing/>
        <w:jc w:val="both"/>
        <w:rPr>
          <w:sz w:val="28"/>
        </w:rPr>
      </w:pPr>
      <w:r>
        <w:rPr>
          <w:sz w:val="28"/>
        </w:rPr>
        <w:t xml:space="preserve">Поряд з цим, слід </w:t>
      </w:r>
      <w:r w:rsidR="000F4372">
        <w:rPr>
          <w:sz w:val="28"/>
        </w:rPr>
        <w:t>зауважити</w:t>
      </w:r>
      <w:r>
        <w:rPr>
          <w:sz w:val="28"/>
        </w:rPr>
        <w:t>, що</w:t>
      </w:r>
      <w:r w:rsidRPr="003B05C9">
        <w:rPr>
          <w:sz w:val="28"/>
          <w:szCs w:val="28"/>
        </w:rPr>
        <w:t xml:space="preserve"> </w:t>
      </w:r>
      <w:r w:rsidR="003F4C56">
        <w:rPr>
          <w:sz w:val="28"/>
          <w:szCs w:val="28"/>
        </w:rPr>
        <w:t>Держмитслужб</w:t>
      </w:r>
      <w:r w:rsidR="00C20A98">
        <w:rPr>
          <w:sz w:val="28"/>
          <w:szCs w:val="28"/>
        </w:rPr>
        <w:t>ою</w:t>
      </w:r>
      <w:r w:rsidR="003F4C56">
        <w:rPr>
          <w:sz w:val="28"/>
          <w:szCs w:val="28"/>
        </w:rPr>
        <w:t xml:space="preserve"> </w:t>
      </w:r>
      <w:r w:rsidR="00C20A98">
        <w:rPr>
          <w:sz w:val="28"/>
          <w:szCs w:val="28"/>
        </w:rPr>
        <w:t>з</w:t>
      </w:r>
      <w:r w:rsidR="00C20A98" w:rsidRPr="008F298D">
        <w:rPr>
          <w:sz w:val="28"/>
          <w:szCs w:val="28"/>
        </w:rPr>
        <w:t xml:space="preserve"> перших днів</w:t>
      </w:r>
      <w:r w:rsidR="00C20A98" w:rsidRPr="00C20A98">
        <w:rPr>
          <w:sz w:val="28"/>
          <w:szCs w:val="28"/>
        </w:rPr>
        <w:t xml:space="preserve"> </w:t>
      </w:r>
      <w:r w:rsidR="00C20A98">
        <w:rPr>
          <w:sz w:val="28"/>
          <w:szCs w:val="28"/>
        </w:rPr>
        <w:t xml:space="preserve">задля </w:t>
      </w:r>
      <w:r w:rsidR="00C20A98" w:rsidRPr="008F298D">
        <w:rPr>
          <w:sz w:val="28"/>
          <w:szCs w:val="28"/>
        </w:rPr>
        <w:t>протидії поширенню</w:t>
      </w:r>
      <w:r w:rsidR="00C20A98" w:rsidRPr="003B05C9">
        <w:rPr>
          <w:sz w:val="28"/>
          <w:szCs w:val="28"/>
        </w:rPr>
        <w:t xml:space="preserve"> </w:t>
      </w:r>
      <w:r w:rsidR="00C20A98" w:rsidRPr="008F298D">
        <w:rPr>
          <w:sz w:val="28"/>
          <w:szCs w:val="28"/>
        </w:rPr>
        <w:t>в Україні епідемії коронавірусної хвороби COVID-19</w:t>
      </w:r>
      <w:r w:rsidR="00C20A98" w:rsidRPr="003F4C56">
        <w:rPr>
          <w:sz w:val="28"/>
          <w:szCs w:val="28"/>
        </w:rPr>
        <w:t xml:space="preserve"> </w:t>
      </w:r>
      <w:r w:rsidR="00C20A98">
        <w:rPr>
          <w:sz w:val="28"/>
          <w:szCs w:val="28"/>
        </w:rPr>
        <w:t xml:space="preserve">вживаються заходи для </w:t>
      </w:r>
      <w:r w:rsidR="00C20A98" w:rsidRPr="008F298D">
        <w:rPr>
          <w:sz w:val="28"/>
          <w:szCs w:val="28"/>
        </w:rPr>
        <w:t>забезпечення надійного функціонування критичних об’єктів життєзабезпечення країни в умовах пандемії.</w:t>
      </w:r>
    </w:p>
    <w:p w:rsidR="00433776" w:rsidRDefault="002D40F0" w:rsidP="00433776">
      <w:pPr>
        <w:ind w:firstLine="709"/>
        <w:contextualSpacing/>
        <w:jc w:val="both"/>
        <w:rPr>
          <w:sz w:val="28"/>
          <w:szCs w:val="28"/>
        </w:rPr>
      </w:pPr>
      <w:r>
        <w:rPr>
          <w:sz w:val="28"/>
        </w:rPr>
        <w:t xml:space="preserve">Зокрема, </w:t>
      </w:r>
      <w:r>
        <w:rPr>
          <w:sz w:val="28"/>
          <w:szCs w:val="28"/>
        </w:rPr>
        <w:t>о</w:t>
      </w:r>
      <w:r w:rsidRPr="00572ECA">
        <w:rPr>
          <w:sz w:val="28"/>
          <w:szCs w:val="28"/>
        </w:rPr>
        <w:t>дним з головних питань</w:t>
      </w:r>
      <w:r>
        <w:rPr>
          <w:sz w:val="28"/>
          <w:szCs w:val="28"/>
        </w:rPr>
        <w:t xml:space="preserve">, яке потребувало вирішення, було </w:t>
      </w:r>
      <w:r w:rsidR="00433776" w:rsidRPr="00572ECA">
        <w:rPr>
          <w:sz w:val="28"/>
          <w:szCs w:val="28"/>
        </w:rPr>
        <w:t>забезпечення пріоритетного режиму митного оформлення лікарських засобів</w:t>
      </w:r>
      <w:r w:rsidR="00433776">
        <w:rPr>
          <w:sz w:val="28"/>
          <w:szCs w:val="28"/>
        </w:rPr>
        <w:t xml:space="preserve">, зокрема задля зменшення черг </w:t>
      </w:r>
      <w:r w:rsidR="00433776" w:rsidRPr="00572ECA">
        <w:rPr>
          <w:sz w:val="28"/>
          <w:szCs w:val="28"/>
        </w:rPr>
        <w:t>на митницях</w:t>
      </w:r>
      <w:r w:rsidR="00433776">
        <w:rPr>
          <w:sz w:val="28"/>
          <w:szCs w:val="28"/>
        </w:rPr>
        <w:t xml:space="preserve">, </w:t>
      </w:r>
      <w:r w:rsidR="00433776" w:rsidRPr="00572ECA">
        <w:rPr>
          <w:sz w:val="28"/>
          <w:szCs w:val="28"/>
        </w:rPr>
        <w:t>що</w:t>
      </w:r>
      <w:r w:rsidR="00433776">
        <w:rPr>
          <w:sz w:val="28"/>
          <w:szCs w:val="28"/>
        </w:rPr>
        <w:t>, в свою чергу,</w:t>
      </w:r>
      <w:r w:rsidR="00433776" w:rsidRPr="00572ECA">
        <w:rPr>
          <w:sz w:val="28"/>
          <w:szCs w:val="28"/>
        </w:rPr>
        <w:t xml:space="preserve"> </w:t>
      </w:r>
      <w:r>
        <w:rPr>
          <w:sz w:val="28"/>
          <w:szCs w:val="28"/>
        </w:rPr>
        <w:t>м</w:t>
      </w:r>
      <w:r w:rsidR="000F4372">
        <w:rPr>
          <w:sz w:val="28"/>
          <w:szCs w:val="28"/>
        </w:rPr>
        <w:t>ало</w:t>
      </w:r>
      <w:r>
        <w:rPr>
          <w:sz w:val="28"/>
          <w:szCs w:val="28"/>
        </w:rPr>
        <w:t xml:space="preserve"> </w:t>
      </w:r>
      <w:r w:rsidR="00433776" w:rsidRPr="00572ECA">
        <w:rPr>
          <w:sz w:val="28"/>
          <w:szCs w:val="28"/>
        </w:rPr>
        <w:t>призв</w:t>
      </w:r>
      <w:r>
        <w:rPr>
          <w:sz w:val="28"/>
          <w:szCs w:val="28"/>
        </w:rPr>
        <w:t xml:space="preserve">ести </w:t>
      </w:r>
      <w:r w:rsidR="00433776" w:rsidRPr="00572ECA">
        <w:rPr>
          <w:sz w:val="28"/>
          <w:szCs w:val="28"/>
        </w:rPr>
        <w:t>до значного уповільнення поставок необхідних лікарських засобів.</w:t>
      </w:r>
    </w:p>
    <w:p w:rsidR="002D40F0" w:rsidRDefault="00680907" w:rsidP="002D40F0">
      <w:pPr>
        <w:ind w:firstLine="709"/>
        <w:jc w:val="both"/>
        <w:rPr>
          <w:sz w:val="28"/>
          <w:szCs w:val="28"/>
        </w:rPr>
      </w:pPr>
      <w:r>
        <w:rPr>
          <w:sz w:val="28"/>
          <w:szCs w:val="28"/>
        </w:rPr>
        <w:t xml:space="preserve">Так, </w:t>
      </w:r>
      <w:r w:rsidR="002D40F0" w:rsidRPr="00141012">
        <w:rPr>
          <w:sz w:val="28"/>
          <w:szCs w:val="28"/>
        </w:rPr>
        <w:t>для автоматизації процесів</w:t>
      </w:r>
      <w:r w:rsidR="002D40F0">
        <w:rPr>
          <w:sz w:val="28"/>
          <w:szCs w:val="28"/>
        </w:rPr>
        <w:t xml:space="preserve"> митного оформлення та контролю</w:t>
      </w:r>
      <w:r w:rsidR="002D40F0" w:rsidRPr="002D40F0">
        <w:rPr>
          <w:sz w:val="28"/>
          <w:szCs w:val="28"/>
        </w:rPr>
        <w:t xml:space="preserve"> </w:t>
      </w:r>
      <w:r w:rsidR="002D40F0">
        <w:rPr>
          <w:sz w:val="28"/>
          <w:szCs w:val="28"/>
        </w:rPr>
        <w:t xml:space="preserve">в Держмитслужбі свого часу </w:t>
      </w:r>
      <w:r w:rsidR="002D40F0" w:rsidRPr="00141012">
        <w:rPr>
          <w:sz w:val="28"/>
          <w:szCs w:val="28"/>
        </w:rPr>
        <w:t>була створена</w:t>
      </w:r>
      <w:r w:rsidR="002D40F0" w:rsidRPr="002D40F0">
        <w:rPr>
          <w:sz w:val="28"/>
          <w:szCs w:val="28"/>
        </w:rPr>
        <w:t xml:space="preserve"> </w:t>
      </w:r>
      <w:r w:rsidR="002D40F0" w:rsidRPr="00141012">
        <w:rPr>
          <w:sz w:val="28"/>
          <w:szCs w:val="28"/>
        </w:rPr>
        <w:t>та успішно функціонує</w:t>
      </w:r>
      <w:r w:rsidR="002D40F0" w:rsidRPr="002D40F0">
        <w:rPr>
          <w:sz w:val="28"/>
          <w:szCs w:val="28"/>
        </w:rPr>
        <w:t xml:space="preserve"> </w:t>
      </w:r>
      <w:r w:rsidR="002D40F0" w:rsidRPr="00141012">
        <w:rPr>
          <w:sz w:val="28"/>
          <w:szCs w:val="28"/>
        </w:rPr>
        <w:t>Єдина автоматизована інформаційна система (ЄАІС)</w:t>
      </w:r>
      <w:r w:rsidR="002D40F0">
        <w:rPr>
          <w:sz w:val="28"/>
          <w:szCs w:val="28"/>
        </w:rPr>
        <w:t>.</w:t>
      </w:r>
    </w:p>
    <w:p w:rsidR="00433776" w:rsidRDefault="00433776" w:rsidP="00433776">
      <w:pPr>
        <w:ind w:firstLine="709"/>
        <w:jc w:val="both"/>
        <w:rPr>
          <w:sz w:val="28"/>
          <w:szCs w:val="28"/>
        </w:rPr>
      </w:pPr>
      <w:r>
        <w:rPr>
          <w:sz w:val="28"/>
          <w:szCs w:val="28"/>
        </w:rPr>
        <w:t>Д</w:t>
      </w:r>
      <w:r w:rsidRPr="00141012">
        <w:rPr>
          <w:sz w:val="28"/>
          <w:szCs w:val="28"/>
        </w:rPr>
        <w:t>іюча в її складі автоматизована система митного оформлення «Інспектор» (АСМО) охоплює всі процеси митного контролю</w:t>
      </w:r>
      <w:r>
        <w:rPr>
          <w:sz w:val="28"/>
          <w:szCs w:val="28"/>
        </w:rPr>
        <w:t>,</w:t>
      </w:r>
      <w:r w:rsidRPr="00141012">
        <w:rPr>
          <w:sz w:val="28"/>
          <w:szCs w:val="28"/>
        </w:rPr>
        <w:t xml:space="preserve"> як всередині країни, так і на</w:t>
      </w:r>
      <w:r>
        <w:rPr>
          <w:sz w:val="28"/>
          <w:szCs w:val="28"/>
        </w:rPr>
        <w:t xml:space="preserve"> митних кордонах, що </w:t>
      </w:r>
      <w:r w:rsidRPr="005B2A81">
        <w:rPr>
          <w:sz w:val="28"/>
          <w:szCs w:val="28"/>
        </w:rPr>
        <w:t>дозволяє володіти всією повнотою інформації про види контролю, які здійснювались</w:t>
      </w:r>
      <w:r>
        <w:rPr>
          <w:sz w:val="28"/>
          <w:szCs w:val="28"/>
        </w:rPr>
        <w:t>,</w:t>
      </w:r>
      <w:r w:rsidRPr="005B2A81">
        <w:rPr>
          <w:sz w:val="28"/>
          <w:szCs w:val="28"/>
        </w:rPr>
        <w:t xml:space="preserve"> від першого перетину кордону до випуску у вільний обіг будь-як</w:t>
      </w:r>
      <w:r>
        <w:rPr>
          <w:sz w:val="28"/>
          <w:szCs w:val="28"/>
        </w:rPr>
        <w:t>их товарів, в т. ч.</w:t>
      </w:r>
      <w:r w:rsidRPr="00AB475A">
        <w:t xml:space="preserve"> </w:t>
      </w:r>
      <w:r w:rsidRPr="00405A80">
        <w:rPr>
          <w:sz w:val="28"/>
          <w:szCs w:val="28"/>
        </w:rPr>
        <w:t>життєвоважливих медичних товарів</w:t>
      </w:r>
      <w:r w:rsidRPr="00AB475A">
        <w:rPr>
          <w:sz w:val="28"/>
          <w:szCs w:val="28"/>
        </w:rPr>
        <w:t>, необхідн</w:t>
      </w:r>
      <w:r>
        <w:rPr>
          <w:sz w:val="28"/>
          <w:szCs w:val="28"/>
        </w:rPr>
        <w:t>их для боротьби з COVID-19</w:t>
      </w:r>
      <w:r w:rsidRPr="00AB475A">
        <w:t xml:space="preserve"> </w:t>
      </w:r>
      <w:r>
        <w:rPr>
          <w:sz w:val="28"/>
          <w:szCs w:val="28"/>
        </w:rPr>
        <w:t xml:space="preserve"> (</w:t>
      </w:r>
      <w:r w:rsidRPr="00AB475A">
        <w:rPr>
          <w:sz w:val="28"/>
          <w:szCs w:val="28"/>
        </w:rPr>
        <w:t>тестові комплекти, захисний одяг (наприклад, маски для</w:t>
      </w:r>
      <w:r>
        <w:rPr>
          <w:sz w:val="28"/>
          <w:szCs w:val="28"/>
        </w:rPr>
        <w:t xml:space="preserve"> </w:t>
      </w:r>
      <w:r w:rsidRPr="00AB475A">
        <w:rPr>
          <w:sz w:val="28"/>
          <w:szCs w:val="28"/>
        </w:rPr>
        <w:t>обличчя і рукавички), термометри, дезінфікуючі засоби і продукти стерилізації, мило, відповідні фармацевтичні препарати, медичні вироби (такі як апарат</w:t>
      </w:r>
      <w:r>
        <w:rPr>
          <w:sz w:val="28"/>
          <w:szCs w:val="28"/>
        </w:rPr>
        <w:t xml:space="preserve">и штучної вентиляції легенів), </w:t>
      </w:r>
      <w:r w:rsidRPr="00AB475A">
        <w:rPr>
          <w:sz w:val="28"/>
          <w:szCs w:val="28"/>
        </w:rPr>
        <w:t>загальне лікарняне обладнання (основні продукти)</w:t>
      </w:r>
      <w:r>
        <w:rPr>
          <w:sz w:val="28"/>
          <w:szCs w:val="28"/>
        </w:rPr>
        <w:t xml:space="preserve"> тощо, а також товарів</w:t>
      </w:r>
      <w:r w:rsidR="00F24DAE">
        <w:rPr>
          <w:sz w:val="28"/>
          <w:szCs w:val="28"/>
        </w:rPr>
        <w:t>, отриманих Україною</w:t>
      </w:r>
      <w:r>
        <w:rPr>
          <w:sz w:val="28"/>
          <w:szCs w:val="28"/>
        </w:rPr>
        <w:t xml:space="preserve"> в межах програм</w:t>
      </w:r>
      <w:r w:rsidRPr="009A3420">
        <w:rPr>
          <w:sz w:val="28"/>
          <w:szCs w:val="28"/>
        </w:rPr>
        <w:t xml:space="preserve"> міжнародної допомоги для боротьби з коронавірусом</w:t>
      </w:r>
      <w:r>
        <w:rPr>
          <w:sz w:val="28"/>
          <w:szCs w:val="28"/>
        </w:rPr>
        <w:t xml:space="preserve">. </w:t>
      </w:r>
    </w:p>
    <w:p w:rsidR="00FA4203" w:rsidRDefault="00FA4203" w:rsidP="00FA4203">
      <w:pPr>
        <w:ind w:firstLine="709"/>
        <w:jc w:val="both"/>
        <w:rPr>
          <w:sz w:val="28"/>
          <w:szCs w:val="28"/>
        </w:rPr>
      </w:pPr>
      <w:r>
        <w:rPr>
          <w:sz w:val="28"/>
          <w:szCs w:val="28"/>
        </w:rPr>
        <w:t xml:space="preserve">Крім того, засобами </w:t>
      </w:r>
      <w:r w:rsidR="002D40F0" w:rsidRPr="00141012">
        <w:rPr>
          <w:sz w:val="28"/>
          <w:szCs w:val="28"/>
        </w:rPr>
        <w:t>АСМО</w:t>
      </w:r>
      <w:r w:rsidR="002D40F0" w:rsidRPr="007E1D5B">
        <w:rPr>
          <w:sz w:val="28"/>
          <w:szCs w:val="28"/>
        </w:rPr>
        <w:t xml:space="preserve"> </w:t>
      </w:r>
      <w:r w:rsidRPr="007E1D5B">
        <w:rPr>
          <w:sz w:val="28"/>
          <w:szCs w:val="28"/>
        </w:rPr>
        <w:t>здійсн</w:t>
      </w:r>
      <w:r>
        <w:rPr>
          <w:sz w:val="28"/>
          <w:szCs w:val="28"/>
        </w:rPr>
        <w:t>юється:</w:t>
      </w:r>
    </w:p>
    <w:p w:rsidR="00FA4203" w:rsidRDefault="00FA4203" w:rsidP="00FA4203">
      <w:pPr>
        <w:ind w:firstLine="709"/>
        <w:jc w:val="both"/>
        <w:rPr>
          <w:sz w:val="28"/>
          <w:szCs w:val="28"/>
        </w:rPr>
      </w:pPr>
      <w:r w:rsidRPr="007E1D5B">
        <w:rPr>
          <w:sz w:val="28"/>
          <w:szCs w:val="28"/>
        </w:rPr>
        <w:t>обмін документами та інформацією (у тому числі електронною) з іншими державними органами України, митними, правоохоронними та іншими органами іноземних держав;</w:t>
      </w:r>
    </w:p>
    <w:p w:rsidR="00FA4203" w:rsidRDefault="00FA4203" w:rsidP="00FA4203">
      <w:pPr>
        <w:ind w:firstLine="709"/>
        <w:jc w:val="both"/>
        <w:rPr>
          <w:sz w:val="28"/>
          <w:szCs w:val="28"/>
        </w:rPr>
      </w:pPr>
      <w:r w:rsidRPr="007E1D5B">
        <w:rPr>
          <w:sz w:val="28"/>
          <w:szCs w:val="28"/>
        </w:rPr>
        <w:t xml:space="preserve">автоматичний інформаційний обмін з </w:t>
      </w:r>
      <w:r>
        <w:rPr>
          <w:sz w:val="28"/>
          <w:szCs w:val="28"/>
        </w:rPr>
        <w:t xml:space="preserve">такими </w:t>
      </w:r>
      <w:r w:rsidRPr="007E1D5B">
        <w:rPr>
          <w:sz w:val="28"/>
          <w:szCs w:val="28"/>
        </w:rPr>
        <w:t>мініст</w:t>
      </w:r>
      <w:r>
        <w:rPr>
          <w:sz w:val="28"/>
          <w:szCs w:val="28"/>
        </w:rPr>
        <w:t>ерствами та відомствами України, як</w:t>
      </w:r>
      <w:r w:rsidRPr="007E1D5B">
        <w:rPr>
          <w:sz w:val="28"/>
          <w:szCs w:val="28"/>
        </w:rPr>
        <w:t xml:space="preserve"> МВС (ДАІ), Мінтранс (Укртрансінспекція), Держлісгосп, Комісі</w:t>
      </w:r>
      <w:r>
        <w:rPr>
          <w:sz w:val="28"/>
          <w:szCs w:val="28"/>
        </w:rPr>
        <w:t>я регулювання зв’язку та ін.;</w:t>
      </w:r>
    </w:p>
    <w:p w:rsidR="00FA4203" w:rsidRPr="007E1D5B" w:rsidRDefault="00FA4203" w:rsidP="00FA4203">
      <w:pPr>
        <w:ind w:firstLine="709"/>
        <w:jc w:val="both"/>
        <w:rPr>
          <w:sz w:val="28"/>
          <w:szCs w:val="28"/>
        </w:rPr>
      </w:pPr>
      <w:r>
        <w:rPr>
          <w:sz w:val="28"/>
          <w:szCs w:val="28"/>
        </w:rPr>
        <w:t>об</w:t>
      </w:r>
      <w:r w:rsidRPr="007E1D5B">
        <w:rPr>
          <w:sz w:val="28"/>
          <w:szCs w:val="28"/>
        </w:rPr>
        <w:t>мін інформації з митними адміністраціями РФ, Молдови, Білорусі, Польщі, а також з IRU.</w:t>
      </w:r>
    </w:p>
    <w:p w:rsidR="00FA4203" w:rsidRPr="007E1D5B" w:rsidRDefault="00FA4203" w:rsidP="000F4372">
      <w:pPr>
        <w:ind w:firstLine="709"/>
        <w:jc w:val="both"/>
        <w:rPr>
          <w:sz w:val="28"/>
          <w:szCs w:val="28"/>
        </w:rPr>
      </w:pPr>
      <w:r>
        <w:rPr>
          <w:sz w:val="28"/>
          <w:szCs w:val="28"/>
        </w:rPr>
        <w:t>Слід  зазначити, що д</w:t>
      </w:r>
      <w:r w:rsidRPr="007E1D5B">
        <w:rPr>
          <w:sz w:val="28"/>
          <w:szCs w:val="28"/>
        </w:rPr>
        <w:t xml:space="preserve">ане програмне забезпечення створене для автоматизації та супроводження практично всіх основних задач, які стоять перед </w:t>
      </w:r>
      <w:r>
        <w:rPr>
          <w:sz w:val="28"/>
          <w:szCs w:val="28"/>
        </w:rPr>
        <w:t>Держмитслужбою</w:t>
      </w:r>
      <w:r w:rsidRPr="007E1D5B">
        <w:rPr>
          <w:sz w:val="28"/>
          <w:szCs w:val="28"/>
        </w:rPr>
        <w:t>. Абсолютна більшість функцій митниці як на місцевому, так і на центральному р</w:t>
      </w:r>
      <w:r>
        <w:rPr>
          <w:sz w:val="28"/>
          <w:szCs w:val="28"/>
        </w:rPr>
        <w:t>івні на сьогодні автоматизовано, що, в свою чергу, надає можливість автоматичного</w:t>
      </w:r>
      <w:r w:rsidR="000F4372">
        <w:rPr>
          <w:sz w:val="28"/>
          <w:szCs w:val="28"/>
        </w:rPr>
        <w:t xml:space="preserve"> </w:t>
      </w:r>
      <w:r>
        <w:rPr>
          <w:sz w:val="28"/>
          <w:szCs w:val="28"/>
        </w:rPr>
        <w:t>о</w:t>
      </w:r>
      <w:r w:rsidRPr="007E1D5B">
        <w:rPr>
          <w:sz w:val="28"/>
          <w:szCs w:val="28"/>
        </w:rPr>
        <w:t>трим</w:t>
      </w:r>
      <w:r>
        <w:rPr>
          <w:sz w:val="28"/>
          <w:szCs w:val="28"/>
        </w:rPr>
        <w:t>ання</w:t>
      </w:r>
      <w:r w:rsidRPr="007E1D5B">
        <w:rPr>
          <w:sz w:val="28"/>
          <w:szCs w:val="28"/>
        </w:rPr>
        <w:t> оперативн</w:t>
      </w:r>
      <w:r>
        <w:rPr>
          <w:sz w:val="28"/>
          <w:szCs w:val="28"/>
        </w:rPr>
        <w:t>ої</w:t>
      </w:r>
      <w:r w:rsidRPr="007E1D5B">
        <w:rPr>
          <w:sz w:val="28"/>
          <w:szCs w:val="28"/>
        </w:rPr>
        <w:t> інформац</w:t>
      </w:r>
      <w:r>
        <w:rPr>
          <w:sz w:val="28"/>
          <w:szCs w:val="28"/>
        </w:rPr>
        <w:t>ії</w:t>
      </w:r>
      <w:r w:rsidRPr="007E1D5B">
        <w:rPr>
          <w:sz w:val="28"/>
          <w:szCs w:val="28"/>
        </w:rPr>
        <w:t> </w:t>
      </w:r>
      <w:r w:rsidR="000F4372">
        <w:rPr>
          <w:sz w:val="28"/>
          <w:szCs w:val="28"/>
        </w:rPr>
        <w:br/>
      </w:r>
      <w:r w:rsidRPr="007E1D5B">
        <w:rPr>
          <w:sz w:val="28"/>
          <w:szCs w:val="28"/>
        </w:rPr>
        <w:t>щодо здійснення митного контролю та митного оформлення в пунктах пропуску</w:t>
      </w:r>
      <w:r w:rsidRPr="00D02D71">
        <w:rPr>
          <w:sz w:val="28"/>
          <w:szCs w:val="28"/>
        </w:rPr>
        <w:t xml:space="preserve"> </w:t>
      </w:r>
      <w:r w:rsidRPr="007E1D5B">
        <w:rPr>
          <w:sz w:val="28"/>
          <w:szCs w:val="28"/>
        </w:rPr>
        <w:t>в режимі реального часу.</w:t>
      </w:r>
    </w:p>
    <w:p w:rsidR="00FA4203" w:rsidRDefault="00FA4203" w:rsidP="00FA4203">
      <w:pPr>
        <w:ind w:firstLine="709"/>
        <w:jc w:val="both"/>
        <w:rPr>
          <w:sz w:val="28"/>
          <w:szCs w:val="28"/>
        </w:rPr>
      </w:pPr>
      <w:r>
        <w:rPr>
          <w:sz w:val="28"/>
          <w:szCs w:val="28"/>
        </w:rPr>
        <w:t>Отже, з метою</w:t>
      </w:r>
      <w:r w:rsidRPr="0089649A">
        <w:t xml:space="preserve"> </w:t>
      </w:r>
      <w:r w:rsidRPr="0089649A">
        <w:rPr>
          <w:sz w:val="28"/>
          <w:szCs w:val="28"/>
        </w:rPr>
        <w:t>створення сприятливих умов</w:t>
      </w:r>
      <w:r>
        <w:rPr>
          <w:sz w:val="28"/>
          <w:szCs w:val="28"/>
        </w:rPr>
        <w:t xml:space="preserve"> для виконання Держмитслужбою та її територіальними органами покладених завдань та функцій, зокрема пов’язаних з використанням </w:t>
      </w:r>
      <w:r w:rsidRPr="0089649A">
        <w:rPr>
          <w:sz w:val="28"/>
          <w:szCs w:val="28"/>
        </w:rPr>
        <w:t>інформаційних,</w:t>
      </w:r>
      <w:r>
        <w:rPr>
          <w:sz w:val="28"/>
          <w:szCs w:val="28"/>
        </w:rPr>
        <w:t xml:space="preserve"> </w:t>
      </w:r>
      <w:r w:rsidRPr="0089649A">
        <w:rPr>
          <w:sz w:val="28"/>
          <w:szCs w:val="28"/>
        </w:rPr>
        <w:t>телекомунікаційних та інформаційно-телекомунікаційних систем</w:t>
      </w:r>
      <w:r>
        <w:rPr>
          <w:sz w:val="28"/>
          <w:szCs w:val="28"/>
        </w:rPr>
        <w:t xml:space="preserve">, </w:t>
      </w:r>
      <w:r w:rsidRPr="009A3420">
        <w:rPr>
          <w:sz w:val="28"/>
          <w:szCs w:val="28"/>
        </w:rPr>
        <w:t>серверн</w:t>
      </w:r>
      <w:r>
        <w:rPr>
          <w:sz w:val="28"/>
          <w:szCs w:val="28"/>
        </w:rPr>
        <w:t>ого</w:t>
      </w:r>
      <w:r w:rsidRPr="009A3420">
        <w:rPr>
          <w:sz w:val="28"/>
          <w:szCs w:val="28"/>
        </w:rPr>
        <w:t xml:space="preserve"> та телекомунікаційн</w:t>
      </w:r>
      <w:r>
        <w:rPr>
          <w:sz w:val="28"/>
          <w:szCs w:val="28"/>
        </w:rPr>
        <w:t>ого</w:t>
      </w:r>
      <w:r w:rsidRPr="009A3420">
        <w:rPr>
          <w:sz w:val="28"/>
          <w:szCs w:val="28"/>
        </w:rPr>
        <w:t xml:space="preserve"> обладнання ЄАІС</w:t>
      </w:r>
      <w:r>
        <w:rPr>
          <w:sz w:val="28"/>
          <w:szCs w:val="28"/>
        </w:rPr>
        <w:t xml:space="preserve">, для автономної роботи програмного забезпечення  </w:t>
      </w:r>
      <w:r w:rsidR="000F4372">
        <w:rPr>
          <w:sz w:val="28"/>
          <w:szCs w:val="28"/>
        </w:rPr>
        <w:t xml:space="preserve">нагально </w:t>
      </w:r>
      <w:r>
        <w:rPr>
          <w:sz w:val="28"/>
          <w:szCs w:val="28"/>
        </w:rPr>
        <w:t xml:space="preserve">необхідним </w:t>
      </w:r>
      <w:r w:rsidR="000F4372">
        <w:rPr>
          <w:sz w:val="28"/>
          <w:szCs w:val="28"/>
        </w:rPr>
        <w:t>є</w:t>
      </w:r>
      <w:r w:rsidR="000F4372">
        <w:rPr>
          <w:sz w:val="28"/>
          <w:szCs w:val="28"/>
        </w:rPr>
        <w:t xml:space="preserve"> </w:t>
      </w:r>
      <w:r>
        <w:rPr>
          <w:sz w:val="28"/>
          <w:szCs w:val="28"/>
        </w:rPr>
        <w:t>забезпеч</w:t>
      </w:r>
      <w:r w:rsidR="002D40F0">
        <w:rPr>
          <w:sz w:val="28"/>
          <w:szCs w:val="28"/>
        </w:rPr>
        <w:t xml:space="preserve">ення </w:t>
      </w:r>
      <w:r w:rsidRPr="00D02D71">
        <w:rPr>
          <w:sz w:val="28"/>
          <w:szCs w:val="28"/>
        </w:rPr>
        <w:t>бе</w:t>
      </w:r>
      <w:r>
        <w:rPr>
          <w:sz w:val="28"/>
          <w:szCs w:val="28"/>
        </w:rPr>
        <w:t>зперебійн</w:t>
      </w:r>
      <w:r w:rsidR="002D40F0">
        <w:rPr>
          <w:sz w:val="28"/>
          <w:szCs w:val="28"/>
        </w:rPr>
        <w:t>ого</w:t>
      </w:r>
      <w:r>
        <w:rPr>
          <w:sz w:val="28"/>
          <w:szCs w:val="28"/>
        </w:rPr>
        <w:t xml:space="preserve"> електропостачання.</w:t>
      </w:r>
    </w:p>
    <w:p w:rsidR="00554A24" w:rsidRPr="00554A24" w:rsidRDefault="000F4372" w:rsidP="002D40F0">
      <w:pPr>
        <w:ind w:firstLine="709"/>
        <w:jc w:val="both"/>
        <w:rPr>
          <w:sz w:val="28"/>
          <w:szCs w:val="28"/>
        </w:rPr>
      </w:pPr>
      <w:r>
        <w:rPr>
          <w:sz w:val="28"/>
          <w:szCs w:val="28"/>
        </w:rPr>
        <w:t>З огляду на викладене</w:t>
      </w:r>
      <w:r w:rsidR="002D40F0">
        <w:rPr>
          <w:sz w:val="28"/>
          <w:szCs w:val="28"/>
        </w:rPr>
        <w:t>, Д</w:t>
      </w:r>
      <w:r w:rsidR="00433776">
        <w:rPr>
          <w:sz w:val="28"/>
          <w:szCs w:val="28"/>
        </w:rPr>
        <w:t>ержмитслужба залиш</w:t>
      </w:r>
      <w:r w:rsidR="002D40F0">
        <w:rPr>
          <w:sz w:val="28"/>
          <w:szCs w:val="28"/>
        </w:rPr>
        <w:t>ила</w:t>
      </w:r>
      <w:r w:rsidR="00433776">
        <w:rPr>
          <w:sz w:val="28"/>
          <w:szCs w:val="28"/>
        </w:rPr>
        <w:t xml:space="preserve"> за собою право скористатися постановою </w:t>
      </w:r>
      <w:r w:rsidR="00F24DAE">
        <w:rPr>
          <w:sz w:val="28"/>
          <w:szCs w:val="28"/>
        </w:rPr>
        <w:t xml:space="preserve">КМУ, тобто самостійно </w:t>
      </w:r>
      <w:r w:rsidR="002D40F0">
        <w:rPr>
          <w:sz w:val="28"/>
          <w:szCs w:val="28"/>
        </w:rPr>
        <w:t>обрати</w:t>
      </w:r>
      <w:r w:rsidR="00F24DAE">
        <w:rPr>
          <w:sz w:val="28"/>
          <w:szCs w:val="28"/>
        </w:rPr>
        <w:t xml:space="preserve"> постачальника електричної енергії на безтендерній основі, зокрема шляхом проведення в установленому Законом України «Про публічні закупівлі» (із змінами)</w:t>
      </w:r>
      <w:r>
        <w:rPr>
          <w:sz w:val="28"/>
          <w:szCs w:val="28"/>
        </w:rPr>
        <w:t xml:space="preserve"> порядку переговорної процедури та укладання відповідних договорів.</w:t>
      </w:r>
      <w:bookmarkStart w:id="0" w:name="_GoBack"/>
      <w:bookmarkEnd w:id="0"/>
    </w:p>
    <w:sectPr w:rsidR="00554A24" w:rsidRPr="00554A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A7"/>
    <w:rsid w:val="000A3BF6"/>
    <w:rsid w:val="000F4372"/>
    <w:rsid w:val="002D40F0"/>
    <w:rsid w:val="003B05C9"/>
    <w:rsid w:val="003D4E4F"/>
    <w:rsid w:val="003F4C56"/>
    <w:rsid w:val="00433776"/>
    <w:rsid w:val="004430F9"/>
    <w:rsid w:val="00531454"/>
    <w:rsid w:val="00554A24"/>
    <w:rsid w:val="005A244C"/>
    <w:rsid w:val="00680907"/>
    <w:rsid w:val="006E2329"/>
    <w:rsid w:val="007C3317"/>
    <w:rsid w:val="007D2BE5"/>
    <w:rsid w:val="00B36FDF"/>
    <w:rsid w:val="00B51E1F"/>
    <w:rsid w:val="00C20A98"/>
    <w:rsid w:val="00CB7CA7"/>
    <w:rsid w:val="00D92855"/>
    <w:rsid w:val="00DF366C"/>
    <w:rsid w:val="00F24DAE"/>
    <w:rsid w:val="00F51372"/>
    <w:rsid w:val="00FA4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A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B7CA7"/>
    <w:rPr>
      <w:b/>
    </w:rPr>
  </w:style>
  <w:style w:type="paragraph" w:customStyle="1" w:styleId="a4">
    <w:name w:val="Знак Знак Знак Знак Знак Знак Знак Знак Знак"/>
    <w:basedOn w:val="a"/>
    <w:rsid w:val="00554A24"/>
    <w:rPr>
      <w:rFonts w:ascii="Verdana" w:hAnsi="Verdana" w:cs="Verdana"/>
      <w:sz w:val="20"/>
      <w:szCs w:val="20"/>
      <w:lang w:val="en-US" w:eastAsia="en-US"/>
    </w:rPr>
  </w:style>
  <w:style w:type="paragraph" w:styleId="a5">
    <w:name w:val="Balloon Text"/>
    <w:basedOn w:val="a"/>
    <w:link w:val="a6"/>
    <w:uiPriority w:val="99"/>
    <w:semiHidden/>
    <w:unhideWhenUsed/>
    <w:rsid w:val="00433776"/>
    <w:rPr>
      <w:rFonts w:ascii="Segoe UI" w:hAnsi="Segoe UI" w:cs="Segoe UI"/>
      <w:sz w:val="18"/>
      <w:szCs w:val="18"/>
    </w:rPr>
  </w:style>
  <w:style w:type="character" w:customStyle="1" w:styleId="a6">
    <w:name w:val="Текст выноски Знак"/>
    <w:basedOn w:val="a0"/>
    <w:link w:val="a5"/>
    <w:uiPriority w:val="99"/>
    <w:semiHidden/>
    <w:rsid w:val="00433776"/>
    <w:rPr>
      <w:rFonts w:ascii="Segoe UI" w:eastAsia="Times New Roman" w:hAnsi="Segoe UI" w:cs="Segoe UI"/>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A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B7CA7"/>
    <w:rPr>
      <w:b/>
    </w:rPr>
  </w:style>
  <w:style w:type="paragraph" w:customStyle="1" w:styleId="a4">
    <w:name w:val="Знак Знак Знак Знак Знак Знак Знак Знак Знак"/>
    <w:basedOn w:val="a"/>
    <w:rsid w:val="00554A24"/>
    <w:rPr>
      <w:rFonts w:ascii="Verdana" w:hAnsi="Verdana" w:cs="Verdana"/>
      <w:sz w:val="20"/>
      <w:szCs w:val="20"/>
      <w:lang w:val="en-US" w:eastAsia="en-US"/>
    </w:rPr>
  </w:style>
  <w:style w:type="paragraph" w:styleId="a5">
    <w:name w:val="Balloon Text"/>
    <w:basedOn w:val="a"/>
    <w:link w:val="a6"/>
    <w:uiPriority w:val="99"/>
    <w:semiHidden/>
    <w:unhideWhenUsed/>
    <w:rsid w:val="00433776"/>
    <w:rPr>
      <w:rFonts w:ascii="Segoe UI" w:hAnsi="Segoe UI" w:cs="Segoe UI"/>
      <w:sz w:val="18"/>
      <w:szCs w:val="18"/>
    </w:rPr>
  </w:style>
  <w:style w:type="character" w:customStyle="1" w:styleId="a6">
    <w:name w:val="Текст выноски Знак"/>
    <w:basedOn w:val="a0"/>
    <w:link w:val="a5"/>
    <w:uiPriority w:val="99"/>
    <w:semiHidden/>
    <w:rsid w:val="00433776"/>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7569</Words>
  <Characters>4315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Жаркова О</cp:lastModifiedBy>
  <cp:revision>4</cp:revision>
  <cp:lastPrinted>2021-04-29T11:59:00Z</cp:lastPrinted>
  <dcterms:created xsi:type="dcterms:W3CDTF">2021-04-29T13:05:00Z</dcterms:created>
  <dcterms:modified xsi:type="dcterms:W3CDTF">2021-04-29T12:12:00Z</dcterms:modified>
</cp:coreProperties>
</file>