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5D" w:rsidRPr="00D321D9" w:rsidRDefault="0086505D" w:rsidP="0086505D">
      <w:pPr>
        <w:spacing w:line="276" w:lineRule="auto"/>
        <w:jc w:val="center"/>
        <w:rPr>
          <w:rFonts w:ascii="Times New Roman" w:hAnsi="Times New Roman" w:cs="Times New Roman"/>
          <w:b/>
          <w:sz w:val="24"/>
          <w:szCs w:val="24"/>
          <w:u w:val="single"/>
        </w:rPr>
      </w:pPr>
      <w:r w:rsidRPr="00D321D9">
        <w:rPr>
          <w:rFonts w:ascii="Times New Roman" w:hAnsi="Times New Roman" w:cs="Times New Roman"/>
          <w:b/>
          <w:sz w:val="24"/>
          <w:szCs w:val="24"/>
          <w:u w:val="single"/>
        </w:rPr>
        <w:t>Японія</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bCs/>
          <w:i/>
          <w:color w:val="222222"/>
          <w:spacing w:val="-4"/>
          <w:sz w:val="24"/>
          <w:szCs w:val="24"/>
        </w:rPr>
      </w:pPr>
      <w:r w:rsidRPr="00D321D9">
        <w:rPr>
          <w:rFonts w:ascii="Times New Roman" w:eastAsia="Times New Roman" w:hAnsi="Times New Roman" w:cs="Times New Roman"/>
          <w:bCs/>
          <w:i/>
          <w:color w:val="222222"/>
          <w:spacing w:val="-4"/>
          <w:sz w:val="24"/>
          <w:szCs w:val="24"/>
        </w:rPr>
        <w:t>Процедура реєстрації автотранспорту в Японії</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bCs/>
          <w:color w:val="222222"/>
          <w:spacing w:val="-4"/>
          <w:sz w:val="24"/>
          <w:szCs w:val="24"/>
        </w:rPr>
        <w:t>Автомобіль, який підлягає реєстрації на підставі Закону про дорожні транспортні засоби, повинен бути зареєстрований та мати прикріплений номерний знак, перш ніж на ньому можна буде їздити по дорогах загального користування. Усі автомобілі підлягають національній системі реєстрації автотранспортних засобів, за винятком міні-автомобілів, малих мотоциклів та малих автомобілів спеціального призначення</w:t>
      </w:r>
      <w:r w:rsidRPr="00D321D9">
        <w:rPr>
          <w:rFonts w:ascii="Times New Roman" w:eastAsia="Times New Roman" w:hAnsi="Times New Roman" w:cs="Times New Roman"/>
          <w:color w:val="222222"/>
          <w:spacing w:val="-4"/>
          <w:sz w:val="24"/>
          <w:szCs w:val="24"/>
        </w:rPr>
        <w:t>.</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Типи реєстрації</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color w:val="222222"/>
          <w:spacing w:val="-4"/>
          <w:sz w:val="24"/>
          <w:szCs w:val="24"/>
        </w:rPr>
        <w:t>В Японії розрізняють 4 типи реєстрації:</w:t>
      </w:r>
    </w:p>
    <w:p w:rsidR="0086505D" w:rsidRPr="00D321D9" w:rsidRDefault="0086505D" w:rsidP="0086505D">
      <w:pPr>
        <w:pStyle w:val="a3"/>
        <w:numPr>
          <w:ilvl w:val="0"/>
          <w:numId w:val="1"/>
        </w:numPr>
        <w:shd w:val="clear" w:color="auto" w:fill="FFFFFF"/>
        <w:spacing w:after="0" w:line="276" w:lineRule="auto"/>
        <w:ind w:left="426"/>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color w:val="222222"/>
          <w:spacing w:val="-4"/>
          <w:sz w:val="24"/>
          <w:szCs w:val="24"/>
        </w:rPr>
        <w:t>Первинна реєстрація: усі незареєстровані транспортні засоби підлягають первинній реєстрації, включаючи ті транспортні засоби, реєстрацію яких було скасовано, але ними необхідно користуватися знову;</w:t>
      </w:r>
    </w:p>
    <w:p w:rsidR="0086505D" w:rsidRPr="00D321D9" w:rsidRDefault="0086505D" w:rsidP="0086505D">
      <w:pPr>
        <w:pStyle w:val="a3"/>
        <w:numPr>
          <w:ilvl w:val="0"/>
          <w:numId w:val="1"/>
        </w:numPr>
        <w:shd w:val="clear" w:color="auto" w:fill="FFFFFF"/>
        <w:spacing w:after="0" w:line="276" w:lineRule="auto"/>
        <w:ind w:left="426"/>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color w:val="222222"/>
          <w:spacing w:val="-4"/>
          <w:sz w:val="24"/>
          <w:szCs w:val="24"/>
        </w:rPr>
        <w:t>Реєстрація змін: стосується реєстрації будь-якої зміни типу транспортного засобу, номера шасі, типу двигуна, імені власника, адреси або основного місця його використання;</w:t>
      </w:r>
    </w:p>
    <w:p w:rsidR="0086505D" w:rsidRPr="00D321D9" w:rsidRDefault="0086505D" w:rsidP="0086505D">
      <w:pPr>
        <w:pStyle w:val="a3"/>
        <w:numPr>
          <w:ilvl w:val="0"/>
          <w:numId w:val="1"/>
        </w:numPr>
        <w:shd w:val="clear" w:color="auto" w:fill="FFFFFF"/>
        <w:spacing w:after="0" w:line="276" w:lineRule="auto"/>
        <w:ind w:left="426"/>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color w:val="222222"/>
          <w:spacing w:val="-4"/>
          <w:sz w:val="24"/>
          <w:szCs w:val="24"/>
        </w:rPr>
        <w:t>Реєстрація передачі права власності: стосується реєстрації нового права власності після перепродажу чи іншої операції;</w:t>
      </w:r>
    </w:p>
    <w:p w:rsidR="0086505D" w:rsidRPr="00D321D9" w:rsidRDefault="0086505D" w:rsidP="0086505D">
      <w:pPr>
        <w:pStyle w:val="a3"/>
        <w:numPr>
          <w:ilvl w:val="0"/>
          <w:numId w:val="1"/>
        </w:numPr>
        <w:shd w:val="clear" w:color="auto" w:fill="FFFFFF"/>
        <w:spacing w:after="0" w:line="276" w:lineRule="auto"/>
        <w:ind w:left="426"/>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color w:val="222222"/>
          <w:spacing w:val="-4"/>
          <w:sz w:val="24"/>
          <w:szCs w:val="24"/>
        </w:rPr>
        <w:t>Зняття з реєстрації: мається на увазі скасування реєстрації транспортного засобу після втрати або знесення моторного транспортного засобу, припинення його використання або припинення його використання повністю.</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color w:val="222222"/>
          <w:spacing w:val="-4"/>
          <w:sz w:val="24"/>
          <w:szCs w:val="24"/>
        </w:rPr>
        <w:t>Свідоцтво про реєстрацію (офіційний документ, що відображає зміст реєстрації автотранспортних засобів тощо) видається за запитом.</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Процедура реєстрації</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color w:val="222222"/>
          <w:spacing w:val="-4"/>
          <w:sz w:val="24"/>
          <w:szCs w:val="24"/>
        </w:rPr>
        <w:t>Заявники на реєстрацію автотранспортних засобів повинні подати заявку (OCR) та інші документи. Деякі з цих документів вимагаються відповідно до положень Закону про дорожні транспортні засоби, тоді як інші - згідно з іншими постановами. Наприклад, заявка на перевірку та реєстрацію вимагає подання таких документів:</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Документи, подання яких вимагається Законом про дорожні транспортні засоби</w:t>
      </w:r>
    </w:p>
    <w:p w:rsidR="0086505D" w:rsidRPr="00D321D9" w:rsidRDefault="0086505D" w:rsidP="0086505D">
      <w:pPr>
        <w:pStyle w:val="a3"/>
        <w:numPr>
          <w:ilvl w:val="0"/>
          <w:numId w:val="2"/>
        </w:numPr>
        <w:shd w:val="clear" w:color="auto" w:fill="FFFFFF"/>
        <w:spacing w:after="0" w:line="276" w:lineRule="auto"/>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Бланк заяви (аркуш OCR);</w:t>
      </w:r>
    </w:p>
    <w:p w:rsidR="0086505D" w:rsidRPr="00D321D9" w:rsidRDefault="0086505D" w:rsidP="0086505D">
      <w:pPr>
        <w:pStyle w:val="a3"/>
        <w:numPr>
          <w:ilvl w:val="0"/>
          <w:numId w:val="2"/>
        </w:numPr>
        <w:shd w:val="clear" w:color="auto" w:fill="FFFFFF"/>
        <w:spacing w:after="0" w:line="276" w:lineRule="auto"/>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Квитанція про сплату реєстраційного збору;</w:t>
      </w:r>
    </w:p>
    <w:p w:rsidR="0086505D" w:rsidRPr="00D321D9" w:rsidRDefault="0086505D" w:rsidP="0086505D">
      <w:pPr>
        <w:pStyle w:val="a3"/>
        <w:numPr>
          <w:ilvl w:val="0"/>
          <w:numId w:val="2"/>
        </w:numPr>
        <w:shd w:val="clear" w:color="auto" w:fill="FFFFFF"/>
        <w:spacing w:after="0" w:line="276" w:lineRule="auto"/>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Сертифікат про завершення перевірки;</w:t>
      </w:r>
    </w:p>
    <w:p w:rsidR="0086505D" w:rsidRPr="00D321D9" w:rsidRDefault="0086505D" w:rsidP="0086505D">
      <w:pPr>
        <w:pStyle w:val="a3"/>
        <w:numPr>
          <w:ilvl w:val="0"/>
          <w:numId w:val="2"/>
        </w:numPr>
        <w:shd w:val="clear" w:color="auto" w:fill="FFFFFF"/>
        <w:spacing w:after="0" w:line="276" w:lineRule="auto"/>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Свідоцтво про передачу власності;</w:t>
      </w:r>
    </w:p>
    <w:p w:rsidR="0086505D" w:rsidRPr="00D321D9" w:rsidRDefault="0086505D" w:rsidP="0086505D">
      <w:pPr>
        <w:pStyle w:val="a3"/>
        <w:numPr>
          <w:ilvl w:val="0"/>
          <w:numId w:val="2"/>
        </w:numPr>
        <w:shd w:val="clear" w:color="auto" w:fill="FFFFFF"/>
        <w:spacing w:after="0" w:line="276" w:lineRule="auto"/>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Свідоцтво про накладення пломби;</w:t>
      </w:r>
    </w:p>
    <w:p w:rsidR="0086505D" w:rsidRPr="00D321D9" w:rsidRDefault="0086505D" w:rsidP="0086505D">
      <w:pPr>
        <w:pStyle w:val="a3"/>
        <w:numPr>
          <w:ilvl w:val="0"/>
          <w:numId w:val="2"/>
        </w:numPr>
        <w:shd w:val="clear" w:color="auto" w:fill="FFFFFF"/>
        <w:spacing w:after="0" w:line="276" w:lineRule="auto"/>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Довіреність.</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Документи, необхідні відповідно до інших постанов:</w:t>
      </w:r>
    </w:p>
    <w:p w:rsidR="0086505D" w:rsidRPr="00D321D9" w:rsidRDefault="0086505D" w:rsidP="0086505D">
      <w:pPr>
        <w:pStyle w:val="a3"/>
        <w:numPr>
          <w:ilvl w:val="0"/>
          <w:numId w:val="3"/>
        </w:numPr>
        <w:shd w:val="clear" w:color="auto" w:fill="FFFFFF"/>
        <w:spacing w:after="0" w:line="276" w:lineRule="auto"/>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Квитанція про сплату транспортного податку в залежності від ваги транспортного засобу (Закон про транспортного податку в залежності від ваги ТЗ);</w:t>
      </w:r>
    </w:p>
    <w:p w:rsidR="0086505D" w:rsidRPr="00D321D9" w:rsidRDefault="0086505D" w:rsidP="0086505D">
      <w:pPr>
        <w:pStyle w:val="a3"/>
        <w:numPr>
          <w:ilvl w:val="0"/>
          <w:numId w:val="3"/>
        </w:numPr>
        <w:shd w:val="clear" w:color="auto" w:fill="FFFFFF"/>
        <w:spacing w:after="0" w:line="276" w:lineRule="auto"/>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Довідка про наявність місця для паркування автомобіля ("</w:t>
      </w:r>
      <w:r w:rsidRPr="00D321D9">
        <w:rPr>
          <w:rFonts w:ascii="Times New Roman" w:eastAsia="Times New Roman" w:hAnsi="Times New Roman" w:cs="Times New Roman"/>
          <w:bCs/>
          <w:color w:val="222222"/>
          <w:spacing w:val="-4"/>
          <w:sz w:val="24"/>
          <w:szCs w:val="24"/>
          <w:lang w:val="en-US"/>
        </w:rPr>
        <w:t>Garage</w:t>
      </w:r>
      <w:r w:rsidRPr="00D321D9">
        <w:rPr>
          <w:rFonts w:ascii="Times New Roman" w:eastAsia="Times New Roman" w:hAnsi="Times New Roman" w:cs="Times New Roman"/>
          <w:bCs/>
          <w:color w:val="222222"/>
          <w:spacing w:val="-4"/>
          <w:sz w:val="24"/>
          <w:szCs w:val="24"/>
        </w:rPr>
        <w:t xml:space="preserve"> </w:t>
      </w:r>
      <w:r w:rsidRPr="00D321D9">
        <w:rPr>
          <w:rFonts w:ascii="Times New Roman" w:eastAsia="Times New Roman" w:hAnsi="Times New Roman" w:cs="Times New Roman"/>
          <w:bCs/>
          <w:color w:val="222222"/>
          <w:spacing w:val="-4"/>
          <w:sz w:val="24"/>
          <w:szCs w:val="24"/>
          <w:lang w:val="en-US"/>
        </w:rPr>
        <w:t>certificate</w:t>
      </w:r>
      <w:r w:rsidRPr="00D321D9">
        <w:rPr>
          <w:rFonts w:ascii="Times New Roman" w:eastAsia="Times New Roman" w:hAnsi="Times New Roman" w:cs="Times New Roman"/>
          <w:bCs/>
          <w:color w:val="222222"/>
          <w:spacing w:val="-4"/>
          <w:sz w:val="24"/>
          <w:szCs w:val="24"/>
        </w:rPr>
        <w:t>" відповідно до Закону, що стосується забезпечення місця для паркування автомобілів);</w:t>
      </w:r>
    </w:p>
    <w:p w:rsidR="0086505D" w:rsidRPr="00D321D9" w:rsidRDefault="0086505D" w:rsidP="0086505D">
      <w:pPr>
        <w:pStyle w:val="a3"/>
        <w:numPr>
          <w:ilvl w:val="0"/>
          <w:numId w:val="3"/>
        </w:numPr>
        <w:shd w:val="clear" w:color="auto" w:fill="FFFFFF"/>
        <w:spacing w:after="0" w:line="276" w:lineRule="auto"/>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Свідоцтво про обов'язкове страхування відповідальності автотранспортних засобів (від асоціації взаємодопомоги відповідно до Закон про забезпечення відповідальності автотранспортних засобів).</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color w:val="222222"/>
          <w:spacing w:val="-4"/>
          <w:sz w:val="24"/>
          <w:szCs w:val="24"/>
        </w:rPr>
        <w:t>Крім того, заявники повинні сплатити автомобільний податок та податок на придбання автомобілів у відповідних податкових інспекціях, розташованих у їх громаді. Копії цих квитанцій також повинні бути подані під час подання заявки.</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color w:val="222222"/>
          <w:spacing w:val="-4"/>
          <w:sz w:val="24"/>
          <w:szCs w:val="24"/>
        </w:rPr>
      </w:pPr>
      <w:r w:rsidRPr="00D321D9">
        <w:rPr>
          <w:rFonts w:ascii="Times New Roman" w:eastAsia="Times New Roman" w:hAnsi="Times New Roman" w:cs="Times New Roman"/>
          <w:color w:val="222222"/>
          <w:spacing w:val="-4"/>
          <w:sz w:val="24"/>
          <w:szCs w:val="24"/>
        </w:rPr>
        <w:lastRenderedPageBreak/>
        <w:t>Незважаючи на те, що заявники повинні подавати різні документи та сертифікати згідно з положеннями національного законодавства, що може зайняти багато часу, система огляду та реєстрації автотранспорту в Японії оцінюється як високоефективна. Така система забезпечує дотримання декількох законів, одночасно виконуючи функції підвищення безпеки та статистичні функції.</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Обробка заявок в режимі онлайн та в режимі реального часу</w:t>
      </w:r>
    </w:p>
    <w:p w:rsidR="0086505D" w:rsidRPr="00D321D9" w:rsidRDefault="0086505D" w:rsidP="0086505D">
      <w:pPr>
        <w:shd w:val="clear" w:color="auto" w:fill="FFFFFF"/>
        <w:spacing w:after="0" w:line="276" w:lineRule="auto"/>
        <w:ind w:firstLine="709"/>
        <w:jc w:val="both"/>
        <w:rPr>
          <w:rFonts w:ascii="Times New Roman" w:eastAsia="Times New Roman" w:hAnsi="Times New Roman" w:cs="Times New Roman"/>
          <w:bCs/>
          <w:color w:val="222222"/>
          <w:spacing w:val="-4"/>
          <w:sz w:val="24"/>
          <w:szCs w:val="24"/>
        </w:rPr>
      </w:pPr>
      <w:r w:rsidRPr="00D321D9">
        <w:rPr>
          <w:rFonts w:ascii="Times New Roman" w:eastAsia="Times New Roman" w:hAnsi="Times New Roman" w:cs="Times New Roman"/>
          <w:bCs/>
          <w:color w:val="222222"/>
          <w:spacing w:val="-4"/>
          <w:sz w:val="24"/>
          <w:szCs w:val="24"/>
        </w:rPr>
        <w:t>Заявки обробляються в режимі онлайн та в режимі реального часу за допомогою електронної системи обробки інформації, яка зв’язує місцеві реєстраційні бюро та національний реєстраційний центр.</w:t>
      </w:r>
    </w:p>
    <w:p w:rsidR="0086505D" w:rsidRPr="00D321D9" w:rsidRDefault="0086505D" w:rsidP="0086505D">
      <w:pPr>
        <w:shd w:val="clear" w:color="auto" w:fill="FFFFFF"/>
        <w:spacing w:after="0" w:line="276" w:lineRule="auto"/>
        <w:ind w:firstLine="709"/>
        <w:jc w:val="both"/>
        <w:rPr>
          <w:rFonts w:ascii="Times New Roman" w:eastAsia="Calibri" w:hAnsi="Times New Roman" w:cs="Times New Roman"/>
          <w:bCs/>
          <w:color w:val="222222"/>
          <w:sz w:val="24"/>
          <w:szCs w:val="24"/>
        </w:rPr>
      </w:pPr>
      <w:r w:rsidRPr="00D321D9">
        <w:rPr>
          <w:rFonts w:ascii="Times New Roman" w:eastAsia="Calibri" w:hAnsi="Times New Roman" w:cs="Times New Roman"/>
          <w:bCs/>
          <w:color w:val="222222"/>
          <w:sz w:val="24"/>
          <w:szCs w:val="24"/>
        </w:rPr>
        <w:t xml:space="preserve">Посилання на веб-сайт Міністерства землі, інфраструктури, транспорту та туризму Японії для перевірки у мережі Інтернет інформації про реєстрацію транспортного засобу: </w:t>
      </w:r>
      <w:hyperlink r:id="rId8" w:history="1">
        <w:r w:rsidRPr="00D321D9">
          <w:rPr>
            <w:rStyle w:val="a6"/>
            <w:rFonts w:ascii="Times New Roman" w:eastAsia="Calibri" w:hAnsi="Times New Roman" w:cs="Times New Roman"/>
            <w:sz w:val="24"/>
            <w:szCs w:val="24"/>
          </w:rPr>
          <w:t>https://www.kodokensaku.mlit.go.jp/motas/</w:t>
        </w:r>
      </w:hyperlink>
      <w:r w:rsidRPr="00D321D9">
        <w:rPr>
          <w:rFonts w:ascii="Times New Roman" w:eastAsia="Calibri" w:hAnsi="Times New Roman" w:cs="Times New Roman"/>
          <w:color w:val="222222"/>
          <w:sz w:val="24"/>
          <w:szCs w:val="24"/>
        </w:rPr>
        <w:t xml:space="preserve">. </w:t>
      </w:r>
    </w:p>
    <w:p w:rsidR="00EF5255" w:rsidRDefault="00515347"/>
    <w:sectPr w:rsidR="00EF5255" w:rsidSect="0086505D">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47" w:rsidRDefault="00515347" w:rsidP="0086505D">
      <w:pPr>
        <w:spacing w:after="0" w:line="240" w:lineRule="auto"/>
      </w:pPr>
      <w:r>
        <w:separator/>
      </w:r>
    </w:p>
  </w:endnote>
  <w:endnote w:type="continuationSeparator" w:id="0">
    <w:p w:rsidR="00515347" w:rsidRDefault="00515347" w:rsidP="0086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5D" w:rsidRDefault="008650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5D" w:rsidRDefault="0086505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5D" w:rsidRDefault="008650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47" w:rsidRDefault="00515347" w:rsidP="0086505D">
      <w:pPr>
        <w:spacing w:after="0" w:line="240" w:lineRule="auto"/>
      </w:pPr>
      <w:r>
        <w:separator/>
      </w:r>
    </w:p>
  </w:footnote>
  <w:footnote w:type="continuationSeparator" w:id="0">
    <w:p w:rsidR="00515347" w:rsidRDefault="00515347" w:rsidP="00865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5D" w:rsidRDefault="008650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84160"/>
      <w:docPartObj>
        <w:docPartGallery w:val="Page Numbers (Top of Page)"/>
        <w:docPartUnique/>
      </w:docPartObj>
    </w:sdtPr>
    <w:sdtEndPr>
      <w:rPr>
        <w:rFonts w:ascii="Times New Roman" w:hAnsi="Times New Roman" w:cs="Times New Roman"/>
      </w:rPr>
    </w:sdtEndPr>
    <w:sdtContent>
      <w:bookmarkStart w:id="0" w:name="_GoBack" w:displacedByCustomXml="prev"/>
      <w:p w:rsidR="0086505D" w:rsidRPr="0086505D" w:rsidRDefault="0086505D">
        <w:pPr>
          <w:pStyle w:val="a4"/>
          <w:jc w:val="center"/>
          <w:rPr>
            <w:rFonts w:ascii="Times New Roman" w:hAnsi="Times New Roman" w:cs="Times New Roman"/>
          </w:rPr>
        </w:pPr>
        <w:r w:rsidRPr="0086505D">
          <w:rPr>
            <w:rFonts w:ascii="Times New Roman" w:hAnsi="Times New Roman" w:cs="Times New Roman"/>
          </w:rPr>
          <w:fldChar w:fldCharType="begin"/>
        </w:r>
        <w:r w:rsidRPr="0086505D">
          <w:rPr>
            <w:rFonts w:ascii="Times New Roman" w:hAnsi="Times New Roman" w:cs="Times New Roman"/>
          </w:rPr>
          <w:instrText>PAGE   \* MERGEFORMAT</w:instrText>
        </w:r>
        <w:r w:rsidRPr="0086505D">
          <w:rPr>
            <w:rFonts w:ascii="Times New Roman" w:hAnsi="Times New Roman" w:cs="Times New Roman"/>
          </w:rPr>
          <w:fldChar w:fldCharType="separate"/>
        </w:r>
        <w:r w:rsidRPr="0086505D">
          <w:rPr>
            <w:rFonts w:ascii="Times New Roman" w:hAnsi="Times New Roman" w:cs="Times New Roman"/>
            <w:noProof/>
            <w:lang w:val="ru-RU"/>
          </w:rPr>
          <w:t>2</w:t>
        </w:r>
        <w:r w:rsidRPr="0086505D">
          <w:rPr>
            <w:rFonts w:ascii="Times New Roman" w:hAnsi="Times New Roman" w:cs="Times New Roman"/>
          </w:rPr>
          <w:fldChar w:fldCharType="end"/>
        </w:r>
      </w:p>
    </w:sdtContent>
  </w:sdt>
  <w:bookmarkEnd w:id="0"/>
  <w:p w:rsidR="00DF44E8" w:rsidRDefault="005153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5D" w:rsidRDefault="008650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9B4"/>
    <w:multiLevelType w:val="hybridMultilevel"/>
    <w:tmpl w:val="C1067610"/>
    <w:lvl w:ilvl="0" w:tplc="BB1A74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7F83D5B"/>
    <w:multiLevelType w:val="hybridMultilevel"/>
    <w:tmpl w:val="FDDED0E8"/>
    <w:lvl w:ilvl="0" w:tplc="BB1A74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B8A6DF7"/>
    <w:multiLevelType w:val="hybridMultilevel"/>
    <w:tmpl w:val="C3122D42"/>
    <w:lvl w:ilvl="0" w:tplc="BB1A744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31"/>
    <w:rsid w:val="003B012D"/>
    <w:rsid w:val="00515347"/>
    <w:rsid w:val="0086505D"/>
    <w:rsid w:val="00892204"/>
    <w:rsid w:val="009B0960"/>
    <w:rsid w:val="00A84F31"/>
    <w:rsid w:val="00D464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05D"/>
    <w:pPr>
      <w:ind w:left="720"/>
      <w:contextualSpacing/>
    </w:pPr>
  </w:style>
  <w:style w:type="paragraph" w:styleId="a4">
    <w:name w:val="header"/>
    <w:basedOn w:val="a"/>
    <w:link w:val="a5"/>
    <w:uiPriority w:val="99"/>
    <w:unhideWhenUsed/>
    <w:rsid w:val="0086505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6505D"/>
  </w:style>
  <w:style w:type="character" w:styleId="a6">
    <w:name w:val="Hyperlink"/>
    <w:basedOn w:val="a0"/>
    <w:uiPriority w:val="99"/>
    <w:unhideWhenUsed/>
    <w:rsid w:val="0086505D"/>
    <w:rPr>
      <w:color w:val="0000FF" w:themeColor="hyperlink"/>
      <w:u w:val="single"/>
    </w:rPr>
  </w:style>
  <w:style w:type="paragraph" w:styleId="a7">
    <w:name w:val="footer"/>
    <w:basedOn w:val="a"/>
    <w:link w:val="a8"/>
    <w:uiPriority w:val="99"/>
    <w:unhideWhenUsed/>
    <w:rsid w:val="0086505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65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05D"/>
    <w:pPr>
      <w:ind w:left="720"/>
      <w:contextualSpacing/>
    </w:pPr>
  </w:style>
  <w:style w:type="paragraph" w:styleId="a4">
    <w:name w:val="header"/>
    <w:basedOn w:val="a"/>
    <w:link w:val="a5"/>
    <w:uiPriority w:val="99"/>
    <w:unhideWhenUsed/>
    <w:rsid w:val="0086505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6505D"/>
  </w:style>
  <w:style w:type="character" w:styleId="a6">
    <w:name w:val="Hyperlink"/>
    <w:basedOn w:val="a0"/>
    <w:uiPriority w:val="99"/>
    <w:unhideWhenUsed/>
    <w:rsid w:val="0086505D"/>
    <w:rPr>
      <w:color w:val="0000FF" w:themeColor="hyperlink"/>
      <w:u w:val="single"/>
    </w:rPr>
  </w:style>
  <w:style w:type="paragraph" w:styleId="a7">
    <w:name w:val="footer"/>
    <w:basedOn w:val="a"/>
    <w:link w:val="a8"/>
    <w:uiPriority w:val="99"/>
    <w:unhideWhenUsed/>
    <w:rsid w:val="0086505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6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dokensaku.mlit.go.jp/mota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2291</Words>
  <Characters>1306</Characters>
  <Application>Microsoft Office Word</Application>
  <DocSecurity>0</DocSecurity>
  <Lines>10</Lines>
  <Paragraphs>7</Paragraphs>
  <ScaleCrop>false</ScaleCrop>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ПІДДУБНЯК АРТУР ВІКТОРОВИЧ</dc:creator>
  <cp:keywords/>
  <dc:description/>
  <cp:lastModifiedBy>ПІДДУБНЯК АРТУР ВІКТОРОВИЧ</cp:lastModifiedBy>
  <cp:revision>2</cp:revision>
  <dcterms:created xsi:type="dcterms:W3CDTF">2021-07-28T14:17:00Z</dcterms:created>
  <dcterms:modified xsi:type="dcterms:W3CDTF">2021-07-28T14:17:00Z</dcterms:modified>
</cp:coreProperties>
</file>