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="00C47734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="00C47734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</w:t>
      </w:r>
      <w:r w:rsidR="00C47734">
        <w:rPr>
          <w:sz w:val="28"/>
          <w:szCs w:val="28"/>
        </w:rPr>
        <w:t>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F05711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DE7B05" w:rsidRPr="00AA197D" w:rsidRDefault="007F2778" w:rsidP="00AA197D">
      <w:pPr>
        <w:ind w:firstLine="709"/>
        <w:contextualSpacing/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AA197D">
        <w:rPr>
          <w:b/>
          <w:sz w:val="28"/>
          <w:szCs w:val="28"/>
        </w:rPr>
        <w:t>–</w:t>
      </w:r>
      <w:r w:rsidR="000649C9" w:rsidRPr="00AA197D">
        <w:rPr>
          <w:b/>
          <w:sz w:val="28"/>
          <w:szCs w:val="28"/>
        </w:rPr>
        <w:t xml:space="preserve"> </w:t>
      </w:r>
      <w:r w:rsidR="00445FC4" w:rsidRPr="00AA197D">
        <w:rPr>
          <w:sz w:val="28"/>
          <w:szCs w:val="28"/>
        </w:rPr>
        <w:t xml:space="preserve">Технічний нагляд за виконанням </w:t>
      </w:r>
      <w:r w:rsidR="00C47734" w:rsidRPr="00AA197D">
        <w:rPr>
          <w:sz w:val="28"/>
          <w:szCs w:val="28"/>
        </w:rPr>
        <w:t xml:space="preserve"> робіт</w:t>
      </w:r>
      <w:r w:rsidR="00DE7B05" w:rsidRPr="00AA197D">
        <w:rPr>
          <w:sz w:val="28"/>
          <w:szCs w:val="28"/>
        </w:rPr>
        <w:t xml:space="preserve">: </w:t>
      </w:r>
      <w:r w:rsidR="00386A4B" w:rsidRPr="00386A4B">
        <w:rPr>
          <w:sz w:val="28"/>
          <w:szCs w:val="28"/>
        </w:rPr>
        <w:t>«Технічний нагляд за проектом: «Реконструкція автомобільного пункту пропуску  «</w:t>
      </w:r>
      <w:proofErr w:type="spellStart"/>
      <w:r w:rsidR="00386A4B" w:rsidRPr="00386A4B">
        <w:rPr>
          <w:sz w:val="28"/>
          <w:szCs w:val="28"/>
        </w:rPr>
        <w:t>Дяківці</w:t>
      </w:r>
      <w:proofErr w:type="spellEnd"/>
      <w:r w:rsidR="00386A4B" w:rsidRPr="00386A4B">
        <w:rPr>
          <w:sz w:val="28"/>
          <w:szCs w:val="28"/>
        </w:rPr>
        <w:t xml:space="preserve">» Чернівецької області»  (коригування) за адресою: Чернівецька область, </w:t>
      </w:r>
      <w:proofErr w:type="spellStart"/>
      <w:r w:rsidR="00386A4B" w:rsidRPr="00386A4B">
        <w:rPr>
          <w:sz w:val="28"/>
          <w:szCs w:val="28"/>
        </w:rPr>
        <w:t>Герцаївський</w:t>
      </w:r>
      <w:proofErr w:type="spellEnd"/>
      <w:r w:rsidR="00386A4B" w:rsidRPr="00386A4B">
        <w:rPr>
          <w:sz w:val="28"/>
          <w:szCs w:val="28"/>
        </w:rPr>
        <w:t xml:space="preserve"> район, село </w:t>
      </w:r>
      <w:proofErr w:type="spellStart"/>
      <w:r w:rsidR="00386A4B" w:rsidRPr="00386A4B">
        <w:rPr>
          <w:sz w:val="28"/>
          <w:szCs w:val="28"/>
        </w:rPr>
        <w:t>Тернавка</w:t>
      </w:r>
      <w:proofErr w:type="spellEnd"/>
      <w:r w:rsidR="00386A4B" w:rsidRPr="00386A4B">
        <w:rPr>
          <w:sz w:val="28"/>
          <w:szCs w:val="28"/>
        </w:rPr>
        <w:t>, урочище «Таможня»</w:t>
      </w:r>
      <w:r w:rsidR="00DE7B05" w:rsidRPr="00AA197D">
        <w:rPr>
          <w:sz w:val="28"/>
          <w:szCs w:val="28"/>
        </w:rPr>
        <w:t>,  ДСТУ Б.Д.1.1-1:2013 ДК 021:2015 71520000-9  (Послуги з нагляду за виконанням будівельних робіт).</w:t>
      </w:r>
    </w:p>
    <w:p w:rsidR="000649C9" w:rsidRDefault="000649C9" w:rsidP="000649C9">
      <w:pPr>
        <w:jc w:val="both"/>
        <w:rPr>
          <w:color w:val="000000"/>
        </w:rPr>
      </w:pPr>
    </w:p>
    <w:p w:rsidR="00A0247F" w:rsidRPr="003156E8" w:rsidRDefault="000649C9" w:rsidP="000649C9">
      <w:pPr>
        <w:jc w:val="both"/>
        <w:rPr>
          <w:b/>
          <w:sz w:val="28"/>
          <w:szCs w:val="28"/>
          <w:lang w:val="ru-RU"/>
        </w:rPr>
      </w:pPr>
      <w:r>
        <w:rPr>
          <w:color w:val="000000"/>
        </w:rPr>
        <w:t xml:space="preserve">            </w:t>
      </w:r>
      <w:r w:rsidR="006E0648" w:rsidRPr="00386A4B">
        <w:rPr>
          <w:b/>
          <w:sz w:val="28"/>
          <w:szCs w:val="28"/>
        </w:rPr>
        <w:t xml:space="preserve">3. Ідентифікатор закупівлі: — </w:t>
      </w:r>
      <w:r w:rsidR="00247C73" w:rsidRPr="00386A4B">
        <w:rPr>
          <w:b/>
          <w:sz w:val="28"/>
          <w:szCs w:val="28"/>
        </w:rPr>
        <w:t>UA-2021-</w:t>
      </w:r>
      <w:r w:rsidR="00386A4B" w:rsidRPr="00386A4B">
        <w:rPr>
          <w:b/>
          <w:sz w:val="28"/>
          <w:szCs w:val="28"/>
        </w:rPr>
        <w:t>08</w:t>
      </w:r>
      <w:r w:rsidR="00445FC4" w:rsidRPr="00386A4B">
        <w:rPr>
          <w:b/>
          <w:sz w:val="28"/>
          <w:szCs w:val="28"/>
        </w:rPr>
        <w:t>-</w:t>
      </w:r>
      <w:r w:rsidR="00386A4B" w:rsidRPr="00386A4B">
        <w:rPr>
          <w:b/>
          <w:sz w:val="28"/>
          <w:szCs w:val="28"/>
        </w:rPr>
        <w:t>3</w:t>
      </w:r>
      <w:r w:rsidR="001A0617" w:rsidRPr="00386A4B">
        <w:rPr>
          <w:b/>
          <w:sz w:val="28"/>
          <w:szCs w:val="28"/>
        </w:rPr>
        <w:t>1</w:t>
      </w:r>
      <w:r w:rsidR="00A0247F" w:rsidRPr="00386A4B">
        <w:rPr>
          <w:b/>
          <w:sz w:val="28"/>
          <w:szCs w:val="28"/>
        </w:rPr>
        <w:t>-0</w:t>
      </w:r>
      <w:r w:rsidR="00247C73" w:rsidRPr="00386A4B">
        <w:rPr>
          <w:b/>
          <w:sz w:val="28"/>
          <w:szCs w:val="28"/>
        </w:rPr>
        <w:t>0</w:t>
      </w:r>
      <w:r w:rsidR="00386A4B" w:rsidRPr="00386A4B">
        <w:rPr>
          <w:b/>
          <w:sz w:val="28"/>
          <w:szCs w:val="28"/>
        </w:rPr>
        <w:t>1191</w:t>
      </w:r>
      <w:r w:rsidR="00A0247F" w:rsidRPr="00386A4B">
        <w:rPr>
          <w:b/>
          <w:sz w:val="28"/>
          <w:szCs w:val="28"/>
        </w:rPr>
        <w:t>-</w:t>
      </w:r>
      <w:r w:rsidR="00386A4B" w:rsidRPr="00386A4B">
        <w:rPr>
          <w:b/>
          <w:sz w:val="28"/>
          <w:szCs w:val="28"/>
          <w:lang w:val="en-US"/>
        </w:rPr>
        <w:t>b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Default="007F2778" w:rsidP="00F70F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left="360"/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D866E0" w:rsidRPr="00D866E0" w:rsidRDefault="00AA453B" w:rsidP="00DB03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постанови Кабінету міністрів України від 11.07.2007 № 903 «Про авторський та технічний нагляд під час будівництва об</w:t>
      </w:r>
      <w:r w:rsidRPr="00AA453B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архітектури» необхідно здійснювати т</w:t>
      </w:r>
      <w:r w:rsidRPr="00445FC4">
        <w:rPr>
          <w:sz w:val="28"/>
          <w:szCs w:val="28"/>
        </w:rPr>
        <w:t>ехнічний нагляд за виконанням</w:t>
      </w:r>
      <w:r w:rsidR="00C47734">
        <w:rPr>
          <w:sz w:val="28"/>
          <w:szCs w:val="28"/>
        </w:rPr>
        <w:t xml:space="preserve"> робіт</w:t>
      </w:r>
      <w:r w:rsidRPr="00445FC4">
        <w:rPr>
          <w:sz w:val="28"/>
          <w:szCs w:val="28"/>
        </w:rPr>
        <w:t xml:space="preserve"> </w:t>
      </w:r>
      <w:r w:rsidR="001A0617">
        <w:rPr>
          <w:sz w:val="28"/>
          <w:szCs w:val="28"/>
        </w:rPr>
        <w:t xml:space="preserve"> </w:t>
      </w:r>
      <w:r w:rsidR="00AA197D" w:rsidRPr="00DE7B05">
        <w:rPr>
          <w:sz w:val="28"/>
          <w:szCs w:val="28"/>
        </w:rPr>
        <w:t>«Реконструкція міжнародного пункту пропуску для автомобільного сполучення «</w:t>
      </w:r>
      <w:proofErr w:type="spellStart"/>
      <w:r w:rsidR="00AA197D" w:rsidRPr="00DE7B05">
        <w:rPr>
          <w:sz w:val="28"/>
          <w:szCs w:val="28"/>
        </w:rPr>
        <w:t>Дяківці</w:t>
      </w:r>
      <w:proofErr w:type="spellEnd"/>
      <w:r w:rsidR="00AA197D" w:rsidRPr="00DE7B05">
        <w:rPr>
          <w:sz w:val="28"/>
          <w:szCs w:val="28"/>
        </w:rPr>
        <w:t xml:space="preserve">» Чернівецька область»  (Коригування) за адресою: Чернівецька область, </w:t>
      </w:r>
      <w:proofErr w:type="spellStart"/>
      <w:r w:rsidR="00AA197D" w:rsidRPr="00DE7B05">
        <w:rPr>
          <w:sz w:val="28"/>
          <w:szCs w:val="28"/>
        </w:rPr>
        <w:t>Герцаївський</w:t>
      </w:r>
      <w:proofErr w:type="spellEnd"/>
      <w:r w:rsidR="00AA197D" w:rsidRPr="00DE7B05">
        <w:rPr>
          <w:sz w:val="28"/>
          <w:szCs w:val="28"/>
        </w:rPr>
        <w:t xml:space="preserve"> район, село </w:t>
      </w:r>
      <w:proofErr w:type="spellStart"/>
      <w:r w:rsidR="00AA197D" w:rsidRPr="00DE7B05">
        <w:rPr>
          <w:sz w:val="28"/>
          <w:szCs w:val="28"/>
        </w:rPr>
        <w:t>Тернавка</w:t>
      </w:r>
      <w:proofErr w:type="spellEnd"/>
      <w:r w:rsidR="00AA197D" w:rsidRPr="00DE7B05">
        <w:rPr>
          <w:sz w:val="28"/>
          <w:szCs w:val="28"/>
        </w:rPr>
        <w:t>, урочище «Таможня»</w:t>
      </w:r>
      <w:r w:rsidR="00DB034D">
        <w:rPr>
          <w:sz w:val="28"/>
          <w:szCs w:val="28"/>
        </w:rPr>
        <w:t>.</w:t>
      </w:r>
      <w:r w:rsidR="00D866E0" w:rsidRPr="00D866E0">
        <w:rPr>
          <w:sz w:val="28"/>
          <w:szCs w:val="28"/>
        </w:rPr>
        <w:t xml:space="preserve"> </w:t>
      </w:r>
    </w:p>
    <w:p w:rsidR="00AA197D" w:rsidRPr="00DE7B05" w:rsidRDefault="00D42B18" w:rsidP="00AA1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Розпорядження Кабінету Міністрів України від 24.03.2021 №246-р «Про затвердження плану заходів з облаштування пріоритетних пунктів пропуску на 2021-2023 роки», Наказу Державної митної служби України від </w:t>
      </w:r>
      <w:r w:rsidR="003156E8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3156E8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>.2021 №</w:t>
      </w:r>
      <w:r w:rsidR="003156E8">
        <w:rPr>
          <w:sz w:val="28"/>
          <w:szCs w:val="28"/>
        </w:rPr>
        <w:t>597</w:t>
      </w:r>
      <w:r>
        <w:rPr>
          <w:sz w:val="28"/>
          <w:szCs w:val="28"/>
        </w:rPr>
        <w:t xml:space="preserve"> «Про затвердження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будівництва» розпочато процедуру закупівлі </w:t>
      </w:r>
      <w:r w:rsidR="00386A4B" w:rsidRPr="00386A4B">
        <w:rPr>
          <w:sz w:val="28"/>
          <w:szCs w:val="28"/>
        </w:rPr>
        <w:t>«Технічний нагляд за проектом: «Реконструкція автомобільного пункту пропуску  «</w:t>
      </w:r>
      <w:proofErr w:type="spellStart"/>
      <w:r w:rsidR="00386A4B" w:rsidRPr="00386A4B">
        <w:rPr>
          <w:sz w:val="28"/>
          <w:szCs w:val="28"/>
        </w:rPr>
        <w:t>Дяківці</w:t>
      </w:r>
      <w:proofErr w:type="spellEnd"/>
      <w:r w:rsidR="00386A4B" w:rsidRPr="00386A4B">
        <w:rPr>
          <w:sz w:val="28"/>
          <w:szCs w:val="28"/>
        </w:rPr>
        <w:t xml:space="preserve">» Чернівецької області»  (коригування) за адресою: Чернівецька область, </w:t>
      </w:r>
      <w:proofErr w:type="spellStart"/>
      <w:r w:rsidR="00386A4B" w:rsidRPr="00386A4B">
        <w:rPr>
          <w:sz w:val="28"/>
          <w:szCs w:val="28"/>
        </w:rPr>
        <w:t>Герцаївський</w:t>
      </w:r>
      <w:proofErr w:type="spellEnd"/>
      <w:r w:rsidR="00386A4B" w:rsidRPr="00386A4B">
        <w:rPr>
          <w:sz w:val="28"/>
          <w:szCs w:val="28"/>
        </w:rPr>
        <w:t xml:space="preserve"> район, село </w:t>
      </w:r>
      <w:proofErr w:type="spellStart"/>
      <w:r w:rsidR="00386A4B" w:rsidRPr="00386A4B">
        <w:rPr>
          <w:sz w:val="28"/>
          <w:szCs w:val="28"/>
        </w:rPr>
        <w:t>Тернавка</w:t>
      </w:r>
      <w:proofErr w:type="spellEnd"/>
      <w:r w:rsidR="00386A4B" w:rsidRPr="00386A4B">
        <w:rPr>
          <w:sz w:val="28"/>
          <w:szCs w:val="28"/>
        </w:rPr>
        <w:t>, урочище «Таможня»</w:t>
      </w:r>
      <w:r w:rsidR="00AA197D" w:rsidRPr="00DE7B05">
        <w:rPr>
          <w:sz w:val="28"/>
          <w:szCs w:val="28"/>
        </w:rPr>
        <w:t>,  ДСТУ Б.Д.1.1-1:2013 ДК 021:2015 71520000-9  (Послуги з нагляду за виконанням будівельних робіт)</w:t>
      </w:r>
      <w:r w:rsidR="00AA197D">
        <w:rPr>
          <w:sz w:val="28"/>
          <w:szCs w:val="28"/>
        </w:rPr>
        <w:t>.</w:t>
      </w:r>
    </w:p>
    <w:p w:rsidR="00DB034D" w:rsidRDefault="00DB034D" w:rsidP="00DB034D">
      <w:pPr>
        <w:ind w:firstLine="567"/>
        <w:jc w:val="both"/>
        <w:rPr>
          <w:sz w:val="28"/>
          <w:szCs w:val="28"/>
        </w:rPr>
      </w:pPr>
    </w:p>
    <w:p w:rsidR="00F70FE8" w:rsidRDefault="0070162D" w:rsidP="00DB034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ДП «</w:t>
      </w:r>
      <w:proofErr w:type="spellStart"/>
      <w:r>
        <w:rPr>
          <w:sz w:val="28"/>
          <w:szCs w:val="28"/>
        </w:rPr>
        <w:t>Укрдержбудекспертиза</w:t>
      </w:r>
      <w:proofErr w:type="spellEnd"/>
      <w:r>
        <w:rPr>
          <w:sz w:val="28"/>
          <w:szCs w:val="28"/>
        </w:rPr>
        <w:t>» у Чернівецькій області</w:t>
      </w:r>
      <w:r w:rsidR="00D42B18">
        <w:rPr>
          <w:sz w:val="28"/>
          <w:szCs w:val="28"/>
        </w:rPr>
        <w:t xml:space="preserve"> </w:t>
      </w:r>
      <w:r>
        <w:rPr>
          <w:sz w:val="28"/>
          <w:szCs w:val="28"/>
        </w:rPr>
        <w:t>бу</w:t>
      </w:r>
      <w:r w:rsidR="00D42B18">
        <w:rPr>
          <w:sz w:val="28"/>
          <w:szCs w:val="28"/>
        </w:rPr>
        <w:t xml:space="preserve">в наданий експертний звіт (позитивний) щодо розгляду проектної документації на будівництво за робочим проектом: </w:t>
      </w:r>
      <w:r w:rsidR="00386A4B" w:rsidRPr="00386A4B">
        <w:rPr>
          <w:sz w:val="28"/>
          <w:szCs w:val="28"/>
        </w:rPr>
        <w:t>«Реконструкція автомобільного пункту пропуску  «</w:t>
      </w:r>
      <w:proofErr w:type="spellStart"/>
      <w:r w:rsidR="00386A4B" w:rsidRPr="00386A4B">
        <w:rPr>
          <w:sz w:val="28"/>
          <w:szCs w:val="28"/>
        </w:rPr>
        <w:t>Дяківці</w:t>
      </w:r>
      <w:proofErr w:type="spellEnd"/>
      <w:r w:rsidR="00386A4B" w:rsidRPr="00386A4B">
        <w:rPr>
          <w:sz w:val="28"/>
          <w:szCs w:val="28"/>
        </w:rPr>
        <w:t xml:space="preserve">» Чернівецької області»  (коригування) за адресою: Чернівецька область, </w:t>
      </w:r>
      <w:proofErr w:type="spellStart"/>
      <w:r w:rsidR="00386A4B" w:rsidRPr="00386A4B">
        <w:rPr>
          <w:sz w:val="28"/>
          <w:szCs w:val="28"/>
        </w:rPr>
        <w:t>Герцаївський</w:t>
      </w:r>
      <w:proofErr w:type="spellEnd"/>
      <w:r w:rsidR="00386A4B" w:rsidRPr="00386A4B">
        <w:rPr>
          <w:sz w:val="28"/>
          <w:szCs w:val="28"/>
        </w:rPr>
        <w:t xml:space="preserve"> район, село </w:t>
      </w:r>
      <w:proofErr w:type="spellStart"/>
      <w:r w:rsidR="00386A4B" w:rsidRPr="00386A4B">
        <w:rPr>
          <w:sz w:val="28"/>
          <w:szCs w:val="28"/>
        </w:rPr>
        <w:t>Тернавка</w:t>
      </w:r>
      <w:proofErr w:type="spellEnd"/>
      <w:r w:rsidR="00386A4B" w:rsidRPr="00386A4B">
        <w:rPr>
          <w:sz w:val="28"/>
          <w:szCs w:val="28"/>
        </w:rPr>
        <w:t>, урочище «Таможня»</w:t>
      </w:r>
      <w:r w:rsidR="00D866E0" w:rsidRPr="00D866E0">
        <w:rPr>
          <w:sz w:val="28"/>
          <w:szCs w:val="28"/>
        </w:rPr>
        <w:t xml:space="preserve">, </w:t>
      </w:r>
      <w:r w:rsidR="00D42B18" w:rsidRPr="00D866E0">
        <w:rPr>
          <w:sz w:val="28"/>
          <w:szCs w:val="28"/>
        </w:rPr>
        <w:t xml:space="preserve">яким підтверджено, що </w:t>
      </w:r>
      <w:r w:rsidR="00CE277C" w:rsidRPr="00D866E0">
        <w:rPr>
          <w:sz w:val="28"/>
          <w:szCs w:val="28"/>
        </w:rPr>
        <w:t>за результатами розгляду</w:t>
      </w:r>
      <w:r w:rsidR="00CE277C" w:rsidRPr="00386A4B">
        <w:rPr>
          <w:sz w:val="28"/>
          <w:szCs w:val="28"/>
        </w:rPr>
        <w:t xml:space="preserve"> проектної</w:t>
      </w:r>
      <w:r w:rsidR="00CE277C">
        <w:rPr>
          <w:color w:val="000000"/>
          <w:sz w:val="28"/>
          <w:szCs w:val="28"/>
        </w:rPr>
        <w:t xml:space="preserve"> документації на будівництво встановлено, що зазначену документацію </w:t>
      </w:r>
      <w:r w:rsidR="00CE277C">
        <w:rPr>
          <w:color w:val="000000"/>
          <w:sz w:val="28"/>
          <w:szCs w:val="28"/>
        </w:rPr>
        <w:lastRenderedPageBreak/>
        <w:t>розроблено згідно з вихідними даними на проектування з дотриманням вимог (щодо міцності, надійності та довговічності об</w:t>
      </w:r>
      <w:r w:rsidR="00CE277C" w:rsidRPr="00CE277C">
        <w:rPr>
          <w:color w:val="000000"/>
          <w:sz w:val="28"/>
          <w:szCs w:val="28"/>
        </w:rPr>
        <w:t>’</w:t>
      </w:r>
      <w:r w:rsidR="00CE277C">
        <w:rPr>
          <w:color w:val="000000"/>
          <w:sz w:val="28"/>
          <w:szCs w:val="28"/>
        </w:rPr>
        <w:t xml:space="preserve">єкта будівництва, його експлуатаційної безпеки, у тому числі вимог з питань створення умов для  безперешкодного доступу осіб з інвалідністю та інших </w:t>
      </w:r>
      <w:proofErr w:type="spellStart"/>
      <w:r w:rsidR="00CE277C">
        <w:rPr>
          <w:color w:val="000000"/>
          <w:sz w:val="28"/>
          <w:szCs w:val="28"/>
        </w:rPr>
        <w:t>маломобільних</w:t>
      </w:r>
      <w:proofErr w:type="spellEnd"/>
      <w:r w:rsidR="00CE277C">
        <w:rPr>
          <w:color w:val="000000"/>
          <w:sz w:val="28"/>
          <w:szCs w:val="28"/>
        </w:rPr>
        <w:t xml:space="preserve"> груп населення, та інженерного забезпечення; кошторисної частини проектної документації; санітарного й епідеміологічного благополуччя населення; охорони праці; екології; пожежної безпеки; техногенної безпеки; енергозбереження) і може бути затверджено (схвалено) в установленому порядку з зазначеними техніко – економічними (технічними) показниками.</w:t>
      </w:r>
    </w:p>
    <w:p w:rsidR="004F1A98" w:rsidRDefault="004F1A9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4F1A98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E7B05" w:rsidRDefault="00A0247F" w:rsidP="00DE7B05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445FC4" w:rsidRPr="00445FC4">
        <w:rPr>
          <w:b/>
          <w:color w:val="000000"/>
          <w:sz w:val="28"/>
          <w:szCs w:val="28"/>
        </w:rPr>
        <w:t xml:space="preserve"> </w:t>
      </w:r>
      <w:r w:rsidR="00DE7B05" w:rsidRPr="00DE7B05">
        <w:rPr>
          <w:sz w:val="28"/>
          <w:szCs w:val="28"/>
        </w:rPr>
        <w:t xml:space="preserve">на 2021-2022 </w:t>
      </w:r>
      <w:proofErr w:type="spellStart"/>
      <w:r w:rsidR="00DE7B05" w:rsidRPr="00DE7B05">
        <w:rPr>
          <w:sz w:val="28"/>
          <w:szCs w:val="28"/>
        </w:rPr>
        <w:t>р.р</w:t>
      </w:r>
      <w:proofErr w:type="spellEnd"/>
      <w:r w:rsidR="00DE7B05" w:rsidRPr="00DE7B05">
        <w:rPr>
          <w:sz w:val="28"/>
          <w:szCs w:val="28"/>
        </w:rPr>
        <w:t xml:space="preserve">. - 1 360 683,00 грн. з ПДВ, в </w:t>
      </w:r>
      <w:proofErr w:type="spellStart"/>
      <w:r w:rsidR="00DE7B05" w:rsidRPr="00DE7B05">
        <w:rPr>
          <w:sz w:val="28"/>
          <w:szCs w:val="28"/>
        </w:rPr>
        <w:t>т.ч</w:t>
      </w:r>
      <w:proofErr w:type="spellEnd"/>
      <w:r w:rsidR="00DE7B05" w:rsidRPr="00DE7B05">
        <w:rPr>
          <w:sz w:val="28"/>
          <w:szCs w:val="28"/>
        </w:rPr>
        <w:t xml:space="preserve">. на 2021 рік – 679 616,00 грн. з ПДВ; </w:t>
      </w:r>
    </w:p>
    <w:p w:rsidR="004F1A98" w:rsidRDefault="00DE7B05" w:rsidP="00DE7B05">
      <w:pPr>
        <w:contextualSpacing/>
        <w:jc w:val="both"/>
        <w:rPr>
          <w:sz w:val="28"/>
          <w:szCs w:val="28"/>
        </w:rPr>
      </w:pPr>
      <w:r w:rsidRPr="00DE7B05">
        <w:rPr>
          <w:sz w:val="28"/>
          <w:szCs w:val="28"/>
        </w:rPr>
        <w:t>Період виконання робіт - до 30.11.2022 року</w:t>
      </w:r>
      <w:r>
        <w:rPr>
          <w:sz w:val="28"/>
          <w:szCs w:val="28"/>
        </w:rPr>
        <w:t>.</w:t>
      </w:r>
    </w:p>
    <w:p w:rsidR="00386A4B" w:rsidRPr="004F1A98" w:rsidRDefault="00386A4B" w:rsidP="00DE7B05">
      <w:pPr>
        <w:contextualSpacing/>
        <w:jc w:val="both"/>
        <w:rPr>
          <w:sz w:val="28"/>
          <w:szCs w:val="28"/>
        </w:rPr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386A4B" w:rsidRPr="00386A4B" w:rsidRDefault="00386A4B" w:rsidP="00386A4B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386A4B">
        <w:rPr>
          <w:color w:val="000000"/>
          <w:sz w:val="28"/>
          <w:szCs w:val="28"/>
        </w:rPr>
        <w:t>Ціна тендерної пропозиції Учасника повинна бути розрахована відповідно до ДСТУ Б Д.1.1–1:2013 «Правила визначення вартості будівництва». (Наказ  Міністерства регіонального розвитку, будівництва та житлово-комунального господарства України від 05.07.2013  №293 «Про прийняття національного стандарту ДСТУ Б Д.1.1–1:2013»).</w:t>
      </w:r>
    </w:p>
    <w:p w:rsidR="00386A4B" w:rsidRPr="00386A4B" w:rsidRDefault="00386A4B" w:rsidP="00386A4B">
      <w:pPr>
        <w:tabs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386A4B">
        <w:rPr>
          <w:color w:val="000000"/>
          <w:sz w:val="28"/>
          <w:szCs w:val="28"/>
        </w:rPr>
        <w:t>Ціну тендерної пропозиції учасника слід визначати відповідно до вимог технічного завдання щодо термінів закінчення виконання робіт.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386A4B" w:rsidRPr="00386A4B">
        <w:rPr>
          <w:sz w:val="28"/>
        </w:rPr>
        <w:t xml:space="preserve"> 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216D21">
      <w:headerReference w:type="defaul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63" w:rsidRDefault="00CD2363">
      <w:r>
        <w:separator/>
      </w:r>
    </w:p>
  </w:endnote>
  <w:endnote w:type="continuationSeparator" w:id="0">
    <w:p w:rsidR="00CD2363" w:rsidRDefault="00CD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63" w:rsidRDefault="00CD2363">
      <w:r>
        <w:separator/>
      </w:r>
    </w:p>
  </w:footnote>
  <w:footnote w:type="continuationSeparator" w:id="0">
    <w:p w:rsidR="00CD2363" w:rsidRDefault="00CD2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9C9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873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0617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D21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56E8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6A4B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5FC4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4761"/>
    <w:rsid w:val="004C69E8"/>
    <w:rsid w:val="004D2668"/>
    <w:rsid w:val="004D39DA"/>
    <w:rsid w:val="004D7F25"/>
    <w:rsid w:val="004E0B14"/>
    <w:rsid w:val="004E0EA4"/>
    <w:rsid w:val="004E346A"/>
    <w:rsid w:val="004F1A98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628D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CDE"/>
    <w:rsid w:val="00652DC5"/>
    <w:rsid w:val="00654D47"/>
    <w:rsid w:val="00656491"/>
    <w:rsid w:val="00657094"/>
    <w:rsid w:val="00660768"/>
    <w:rsid w:val="006607C5"/>
    <w:rsid w:val="006611D9"/>
    <w:rsid w:val="00662962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C53DF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162D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37838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6276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DDF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6C5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197D"/>
    <w:rsid w:val="00AA26F8"/>
    <w:rsid w:val="00AA3D77"/>
    <w:rsid w:val="00AA3FB9"/>
    <w:rsid w:val="00AA440E"/>
    <w:rsid w:val="00AA453B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C545B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59F9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47734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0B3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2363"/>
    <w:rsid w:val="00CD43AB"/>
    <w:rsid w:val="00CD5594"/>
    <w:rsid w:val="00CE23FE"/>
    <w:rsid w:val="00CE277C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57F6"/>
    <w:rsid w:val="00CF72E7"/>
    <w:rsid w:val="00D008DB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18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6E0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034D"/>
    <w:rsid w:val="00DB65E5"/>
    <w:rsid w:val="00DB7598"/>
    <w:rsid w:val="00DC011D"/>
    <w:rsid w:val="00DC0AE1"/>
    <w:rsid w:val="00DC2AA5"/>
    <w:rsid w:val="00DC2F2E"/>
    <w:rsid w:val="00DC31A5"/>
    <w:rsid w:val="00DC4383"/>
    <w:rsid w:val="00DD079C"/>
    <w:rsid w:val="00DD6469"/>
    <w:rsid w:val="00DD6AC2"/>
    <w:rsid w:val="00DE03BB"/>
    <w:rsid w:val="00DE63B5"/>
    <w:rsid w:val="00DE6991"/>
    <w:rsid w:val="00DE6D4E"/>
    <w:rsid w:val="00DE7B05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6D0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5711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20F2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C8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2931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2021-06-30T07:10:00Z</dcterms:created>
  <dcterms:modified xsi:type="dcterms:W3CDTF">2021-09-01T11:14:00Z</dcterms:modified>
</cp:coreProperties>
</file>