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підрозділу,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8"/>
          <w:szCs w:val="28"/>
          <w:u w:val="none"/>
          <w:em w:val="none"/>
          <w:lang w:val="uk-UA" w:eastAsia="ru-RU" w:bidi="ar-SA"/>
        </w:rPr>
        <w:t xml:space="preserve">ослуги доступу до мережі Інтернет з використанням комплексної системи захисту інформації захищеного вузла Інтернет доступу (за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кодом  ДК 021:2015 72410000-7 Послуги провайдерів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).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UA-2021-11-29-013038-с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У зв’язку з тим, що для виконання функцій митниці існує необхідність у використанні мережі Інтернет необхідно забезпечити такі технічні та якісні характеристики предмета закупівлі: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b/>
          <w:bCs/>
          <w:i/>
          <w:iCs/>
          <w:color w:val="auto"/>
          <w:kern w:val="0"/>
          <w:sz w:val="28"/>
          <w:szCs w:val="26"/>
          <w:u w:val="none"/>
          <w:lang w:val="uk-UA" w:eastAsia="ru-RU" w:bidi="ar-SA"/>
        </w:rPr>
        <w:t>Місце надання послуг:</w:t>
      </w:r>
      <w:r>
        <w:rPr>
          <w:rFonts w:eastAsia="Arial Unicode MS" w:cs="Times New Roman" w:ascii="Times New Roman" w:hAnsi="Times New Roman"/>
          <w:i/>
          <w:iCs/>
          <w:color w:val="auto"/>
          <w:kern w:val="0"/>
          <w:sz w:val="28"/>
          <w:szCs w:val="26"/>
          <w:u w:val="none"/>
          <w:lang w:val="uk-UA" w:eastAsia="ru-RU" w:bidi="ar-SA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 w:before="0" w:after="0"/>
        <w:ind w:left="1065" w:right="0" w:hanging="0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Україна, Харківська обл., м. Харків, вул. Короленка, 16-Б, 61003; 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 w:before="0" w:after="0"/>
        <w:ind w:left="1065" w:right="0" w:hanging="0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Україна, Харківська обл., м. Харків, вул. Клочківська, 370, 61051; 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 w:before="0" w:after="0"/>
        <w:ind w:left="1065" w:right="0" w:hanging="0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Україна, Харківська обл., м. Куп’янськ, вул. Харківська, 7, 63701. </w:t>
      </w:r>
    </w:p>
    <w:p>
      <w:pPr>
        <w:pStyle w:val="ListParagraph"/>
        <w:tabs>
          <w:tab w:val="clear" w:pos="709"/>
          <w:tab w:val="left" w:pos="1134" w:leader="none"/>
        </w:tabs>
        <w:ind w:left="0" w:firstLine="709"/>
        <w:jc w:val="both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 w:ascii="Times New Roman" w:hAnsi="Times New Roman"/>
          <w:b/>
          <w:bCs/>
          <w:i/>
          <w:iCs/>
          <w:color w:val="auto"/>
          <w:kern w:val="0"/>
          <w:sz w:val="28"/>
          <w:szCs w:val="26"/>
          <w:lang w:val="uk-UA" w:eastAsia="ru-RU" w:bidi="ar-SA"/>
        </w:rPr>
        <w:t>Тип послуг:</w:t>
      </w:r>
      <w:r>
        <w:rPr>
          <w:rFonts w:eastAsia="Arial Unicode MS" w:cs="Times New Roman" w:ascii="Times New Roman" w:hAnsi="Times New Roman"/>
          <w:b/>
          <w:bCs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послуги захищеного доступу до мережі Інтернет через Захищений вузол Інтернет доступу Виконавця, операторське та технічне супроводження доступу до мережі Інтернет.</w:t>
      </w:r>
    </w:p>
    <w:p>
      <w:pPr>
        <w:pStyle w:val="ListParagraph"/>
        <w:tabs>
          <w:tab w:val="clear" w:pos="709"/>
          <w:tab w:val="left" w:pos="1134" w:leader="none"/>
        </w:tabs>
        <w:ind w:left="0" w:firstLine="709"/>
        <w:jc w:val="both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b/>
          <w:b/>
          <w:bCs/>
          <w:color w:val="000000"/>
        </w:rPr>
      </w:pPr>
      <w:r>
        <w:rPr>
          <w:rFonts w:eastAsia="Arial Unicode MS" w:cs="Times New Roman" w:ascii="Times New Roman" w:hAnsi="Times New Roman"/>
          <w:b/>
          <w:bCs/>
          <w:i/>
          <w:iCs/>
          <w:color w:val="auto"/>
          <w:kern w:val="0"/>
          <w:sz w:val="28"/>
          <w:szCs w:val="26"/>
          <w:lang w:val="uk-UA" w:eastAsia="ru-RU" w:bidi="ar-SA"/>
        </w:rPr>
        <w:t>Загальні вимоги: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3.1. Послуги захищеного доступу до мережі Інтернет повинні надаватися відповідно до чинних в Україні законодавчих та нормативних актів, зокрема: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Закону України «Про телекомунікації»;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Указу Президента України «Про деякі заходи щодо захисту державних  інформаційних ресурсів у мережах передачі даних» від 24 вересня 2001 р. № 891/2001;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7 липня 2008 р. за № 603/15294;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Правил надання та отримання телекомунікаційних послуг, затверджених постановою Кабінету Міністрів України від 11 квітня 2012 р. № 295 та інших нормативно-правових актів України у сфері телекомунікацій.</w:t>
      </w:r>
    </w:p>
    <w:p>
      <w:pPr>
        <w:pStyle w:val="ListParagraph"/>
        <w:numPr>
          <w:ilvl w:val="1"/>
          <w:numId w:val="3"/>
        </w:numPr>
        <w:tabs>
          <w:tab w:val="left" w:pos="709" w:leader="none"/>
          <w:tab w:val="left" w:pos="1134" w:leader="none"/>
        </w:tabs>
        <w:ind w:left="0" w:firstLine="851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Цілодобовий захищений доступ до мережі Інтернет повинен надаватися через Захищений вузол Інтернет доступу (ЗВІД) Виконавця, який повинен мати дійсний атестат відповідності системи захисту інформації та експертний висновок до нього.</w:t>
      </w:r>
    </w:p>
    <w:p>
      <w:pPr>
        <w:pStyle w:val="ListParagraph"/>
        <w:numPr>
          <w:ilvl w:val="1"/>
          <w:numId w:val="4"/>
        </w:numPr>
        <w:tabs>
          <w:tab w:val="left" w:pos="709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здійснює розміщення власного обладнання, необхідного для забезпечення надання Послуг на вузлі мережі Замовника, відповідно до паспортних характеристик обладнання, а Замовник забезпечує технічні умови для розміщення та експлуатації обладнання Виконавця.</w:t>
      </w:r>
    </w:p>
    <w:p>
      <w:pPr>
        <w:pStyle w:val="ListParagraph"/>
        <w:numPr>
          <w:ilvl w:val="1"/>
          <w:numId w:val="4"/>
        </w:numPr>
        <w:tabs>
          <w:tab w:val="left" w:pos="709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Зона відповідальності Виконавця при наданні Послуг – до інтерфейсу локального мережевого обладнання Замовника. Відповідно все обладнання, включаючи кабелі до інтерфейсу локального мережевого обладнання, надається, встановлюється та налагоджується Виконавцем в рамках надання Послуг, та не використовується для інших цілей.</w:t>
      </w:r>
    </w:p>
    <w:p>
      <w:pPr>
        <w:pStyle w:val="ListParagraph"/>
        <w:numPr>
          <w:ilvl w:val="1"/>
          <w:numId w:val="4"/>
        </w:numPr>
        <w:tabs>
          <w:tab w:val="left" w:pos="709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Гарантована швидкість доступу до ресурсів мережі Інтернет по повинна бути не менше ніж 20 Мбіт/с на прийом та 20 Мбіт/с на передачу, без обмеження трафіку.</w:t>
      </w:r>
    </w:p>
    <w:p>
      <w:pPr>
        <w:pStyle w:val="ListParagraph"/>
        <w:numPr>
          <w:ilvl w:val="1"/>
          <w:numId w:val="4"/>
        </w:numPr>
        <w:tabs>
          <w:tab w:val="left" w:pos="709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повинен мати систему централізованого моніторингу завантаженості, працездатності та інших якісних характеристик каналу передачі даних, та у разі необхідності надавати ці відомості Замовнику.</w:t>
      </w:r>
    </w:p>
    <w:p>
      <w:pPr>
        <w:pStyle w:val="ListParagraph"/>
        <w:numPr>
          <w:ilvl w:val="1"/>
          <w:numId w:val="4"/>
        </w:numPr>
        <w:tabs>
          <w:tab w:val="left" w:pos="709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повинен забезпечити технічну підтримку каналу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>
      <w:pPr>
        <w:pStyle w:val="ListParagraph"/>
        <w:numPr>
          <w:ilvl w:val="1"/>
          <w:numId w:val="4"/>
        </w:numPr>
        <w:tabs>
          <w:tab w:val="left" w:pos="709" w:leader="none"/>
          <w:tab w:val="left" w:pos="851" w:leader="none"/>
          <w:tab w:val="left" w:pos="1134" w:leader="none"/>
        </w:tabs>
        <w:ind w:left="0" w:firstLine="709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Послуги надаються в режимі 24/7/365.</w:t>
      </w:r>
    </w:p>
    <w:p>
      <w:pPr>
        <w:pStyle w:val="ListParagraph"/>
        <w:tabs>
          <w:tab w:val="left" w:pos="709" w:leader="none"/>
          <w:tab w:val="left" w:pos="851" w:leader="none"/>
          <w:tab w:val="left" w:pos="1134" w:leader="none"/>
        </w:tabs>
        <w:ind w:left="709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b/>
          <w:b/>
          <w:bCs/>
          <w:color w:val="000000"/>
        </w:rPr>
      </w:pPr>
      <w:r>
        <w:rPr>
          <w:rFonts w:eastAsia="Arial Unicode MS" w:cs="Times New Roman" w:ascii="Times New Roman" w:hAnsi="Times New Roman"/>
          <w:b/>
          <w:bCs/>
          <w:i/>
          <w:iCs/>
          <w:color w:val="auto"/>
          <w:kern w:val="0"/>
          <w:sz w:val="28"/>
          <w:szCs w:val="26"/>
          <w:lang w:val="uk-UA" w:eastAsia="ru-RU" w:bidi="ar-SA"/>
        </w:rPr>
        <w:t>Вимоги до Захищеного вузлу Інтернет доступу</w:t>
      </w:r>
    </w:p>
    <w:p>
      <w:pPr>
        <w:pStyle w:val="112"/>
        <w:tabs>
          <w:tab w:val="left" w:pos="709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Захищений вузол Інтернет доступу</w:t>
      </w:r>
      <w:r>
        <w:rPr>
          <w:rFonts w:eastAsia="Arial Unicode MS" w:cs="Times New Roman" w:ascii="Times New Roman" w:hAnsi="Times New Roman"/>
          <w:b/>
          <w:color w:val="auto"/>
          <w:kern w:val="0"/>
          <w:sz w:val="28"/>
          <w:szCs w:val="26"/>
          <w:lang w:val="uk-UA" w:eastAsia="ru-RU" w:bidi="ar-SA"/>
        </w:rPr>
        <w:t xml:space="preserve"> –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повинен</w:t>
      </w:r>
      <w:r>
        <w:rPr>
          <w:rFonts w:eastAsia="Arial Unicode MS" w:cs="Times New Roman" w:ascii="Times New Roman" w:hAnsi="Times New Roman"/>
          <w:b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 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(КСЗІ) з наступними функціями: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застосування політики безпеки на к</w:t>
      </w:r>
      <w:r>
        <w:rPr>
          <w:rFonts w:eastAsia="Arial Unicode MS" w:cs="Times New Roman"/>
          <w:color w:val="auto"/>
          <w:spacing w:val="-2"/>
          <w:kern w:val="0"/>
          <w:sz w:val="28"/>
          <w:szCs w:val="26"/>
          <w:lang w:val="uk-UA" w:eastAsia="ru-RU" w:bidi="ar-SA"/>
        </w:rPr>
        <w:t>омплексі програмно-технічних засобів</w:t>
      </w: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 xml:space="preserve"> ЗВІД;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управління засобами захисту та функціями захисту активного мережевого обладнання що входить до складу ЗВІД;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безперервну експлуатацію та технічне обслуговування програмно-апаратних засобів захисту;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приймання повідомлень щодо інцидентів щодо порушенням безпеки від Комплексу засобів захисту (КЗЗ) серверів ЗВІД;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приймання повідомлень щодо інцидентів з порушенням безпеки від активного мережевих засобів захисту та обладнання;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визначення правил проходження інформаційних потоків між активним мережевим обладнанням;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захист програмно-апаратних засобів від несанкціонованого доступу;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 xml:space="preserve">моніторинг та аналіз поточного стану безпеки ЗВІД;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аналіз прийнятих повідомлень та сортування згідно рангу загрози;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контроль за входом користувачів в систему та доступом до ресурсів;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реєстрація дій користувачів по відношенню до ресурсів системи;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забезпечення цілісності інформаційних ресурсів центру (у тому числі антивірусний захист);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перевірка цілісності та функціонування системи захисту;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контроль за інсталяцією програмного забезпечення на серверах ЗВІД;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 фізичний захист апаратно-програмних засобів ЗВІД від несанкціонованого доступу (НСД);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контроль за цілісністю функціонального програмного забезпечення та даних;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контроль за запуском процесів та їх виконанням;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виявлення та реєстрацію спроб порушення прийнятих прав розмежування доступу;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виявлення та блокування розповсюдження шкідливих програм;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перевірки цілісності та коректності функціонування програмних та апаратних засобів захисту (самоконтроль);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забезпечення можливість повернення обчислювальної мережі ЗВІД у відомий захищений стан після відмов або переривання обслуговування.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1134" w:leader="none"/>
        </w:tabs>
        <w:ind w:left="0"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керування мережевими засобами захисту та функціями захисту активного мережевого обладнання, що входить до складу ЗВІД.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60" w:leader="none"/>
          <w:tab w:val="left" w:pos="1134" w:leader="none"/>
        </w:tabs>
        <w:ind w:left="1080" w:hanging="0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6"/>
          <w:lang w:val="uk-UA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b/>
          <w:b/>
          <w:bCs/>
          <w:color w:val="000000"/>
        </w:rPr>
      </w:pPr>
      <w:r>
        <w:rPr>
          <w:rFonts w:eastAsia="Arial Unicode MS" w:cs="Times New Roman" w:ascii="Times New Roman" w:hAnsi="Times New Roman"/>
          <w:b/>
          <w:bCs/>
          <w:i/>
          <w:iCs/>
          <w:color w:val="auto"/>
          <w:kern w:val="0"/>
          <w:sz w:val="28"/>
          <w:szCs w:val="26"/>
          <w:lang w:val="uk-UA" w:eastAsia="ru-RU" w:bidi="ar-SA"/>
        </w:rPr>
        <w:t>Вимоги до операторського та технічного супроводження.</w:t>
      </w:r>
    </w:p>
    <w:p>
      <w:pPr>
        <w:pStyle w:val="ListParagraph"/>
        <w:widowControl/>
        <w:numPr>
          <w:ilvl w:val="1"/>
          <w:numId w:val="6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Виконавець повинен мати власний Центр технічної підтримки що працює в режимі: 24х7х365 (цілодобово (00:00-24:00) з понеділка по неділю включно, 365 днів на рік з можливістю звернення по телефону або через веб-сайт, або електронну пошту (e-mail); 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bookmarkStart w:id="0" w:name="_GoBack1"/>
      <w:bookmarkEnd w:id="0"/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повинен надати Замовнику перелік телефонів, веб-сайт або електронну пошту (e-mail) Центру технічної підтримки протягом 2-х календарних днів з моменту підписання Договору.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Звернення (повідомлення) Замовника повинно обов’язково включати: найменування Замовника; ім'я, прізвище, контактний телефон особи, що звертається; причину звернення.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На підставі звернення (повідомлення) Замовника Виконавець формує заявку, що включає всі відомості, повідомлені Замовником.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повинен здійснювати постійний моніторинг телекомунікаційного каналу зв’язку, виявлення та усунення причин відхилення від заданих технічних характеристик.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повинен надавати за запитом статистичну інформацію про послуги, що надаються.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Виконавець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803, зареєстрованого в Міністерстві юстиції України 21.01.2013 №135/22667.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spacing w:before="0" w:after="0"/>
        <w:ind w:left="785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b/>
          <w:b/>
          <w:bCs/>
          <w:color w:val="000000"/>
        </w:rPr>
      </w:pPr>
      <w:r>
        <w:rPr>
          <w:rFonts w:eastAsia="Arial Unicode MS" w:cs="Times New Roman" w:ascii="Times New Roman" w:hAnsi="Times New Roman"/>
          <w:b/>
          <w:bCs/>
          <w:i/>
          <w:iCs/>
          <w:color w:val="auto"/>
          <w:kern w:val="0"/>
          <w:sz w:val="28"/>
          <w:szCs w:val="26"/>
          <w:lang w:val="uk-UA" w:eastAsia="ru-RU" w:bidi="ar-SA"/>
        </w:rPr>
        <w:t>Порядок та строки усунення інцидентів: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708" w:firstLine="65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Відсутність надання послуг протягом 30 хвилин вважається інцидентом.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У випадку виникнення інцидентів Виконавець негайно повідомляє про це представників технічної підтримки Замовника по телефону або через веб-сайт, або за електронною поштою (e-mail). 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У випадку, якщо інцидент виявлено Замовником, останній негайно повідомляє про це представників технічної підтримки Виконавця по телефону або через веб-сайт, або електронну пошту (e-mail).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або через веб-сайт, або за електронною поштою (e-mail).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Строк усунення інцидентів, які виникли з вини Виконавця не повинен перевищувати 24-х годин.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Завершенням періоду інциденту вважається час фактичного усунення інциденту та відновлення Послуг.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Про факт відновлення Послуг Виконавець повідомляє Замовника по телефону та дублює повідомлення через веб-сайт або електронну пошту (e-mail). На повідомлення Виконавця Замовник підтверджує чи не підтверджує факт відновлення надання Послуг.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Замовник зобов’язується надавати персоналу Виконавця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Послуг.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Для отримання необхідного доступу до приміщень Замовника, Виконавець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spacing w:before="0" w:after="0"/>
        <w:ind w:left="0" w:firstLine="709"/>
        <w:contextualSpacing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6"/>
          <w:lang w:val="uk-UA" w:eastAsia="ru-RU" w:bidi="ar-SA"/>
        </w:rPr>
        <w:t>При надходженні заявки про інцидент (відсутність Послуги з вини Виконавця)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>
      <w:pPr>
        <w:pStyle w:val="Normal"/>
        <w:tabs>
          <w:tab w:val="clear" w:pos="709"/>
          <w:tab w:val="left" w:pos="851" w:leader="none"/>
        </w:tabs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09"/>
          <w:tab w:val="left" w:pos="993" w:leader="none"/>
        </w:tabs>
        <w:spacing w:before="0" w:after="0"/>
        <w:ind w:left="708" w:firstLine="349"/>
        <w:contextualSpacing/>
        <w:jc w:val="both"/>
        <w:rPr>
          <w:b/>
          <w:b/>
        </w:rPr>
      </w:pPr>
      <w:r>
        <w:rPr>
          <w:rFonts w:eastAsia="Arial Unicode MS" w:cs="Times New Roman" w:ascii="Times New Roman" w:hAnsi="Times New Roman"/>
          <w:b/>
          <w:i/>
          <w:iCs/>
          <w:color w:val="auto"/>
          <w:kern w:val="0"/>
          <w:sz w:val="28"/>
          <w:szCs w:val="26"/>
          <w:lang w:val="uk-UA" w:eastAsia="ru-RU" w:bidi="ar-SA"/>
        </w:rPr>
        <w:t>На підтвердження відповідності тендерної пропозиції технічним, якісним, кількісним вимогам до предмета закупівлі, Учасником у складі тендерної пропозиції надається: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ind w:left="0" w:firstLine="709"/>
        <w:jc w:val="both"/>
        <w:rPr>
          <w:szCs w:val="26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Довідка (форма довільна) щодо можливості надання послуг відповідно до вимог.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ind w:left="0" w:firstLine="709"/>
        <w:jc w:val="both"/>
        <w:rPr>
          <w:szCs w:val="26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Довідку в довільній формі про організацію цілодобової технічної підтримки послуги (телефони «гарячої лінії», e-mail адреси, сайти технічної підтримки тощо). Інформація зазначена у довідці повинна бути підтверджена інформацією з офіційного сайту Учасника (за наявності).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ind w:left="0" w:firstLine="709"/>
        <w:jc w:val="both"/>
        <w:rPr>
          <w:szCs w:val="26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Документ, який підтверджує внесення Учасника до реєстру операторів та/ або провайдерів телекомунікацій Національною комісією, що здійснює державне регулювання у сфері зв’язку та інформатизації.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9"/>
          <w:tab w:val="left" w:pos="993" w:leader="none"/>
          <w:tab w:val="left" w:pos="1134" w:leader="none"/>
        </w:tabs>
        <w:ind w:left="0" w:firstLine="709"/>
        <w:jc w:val="both"/>
        <w:rPr>
          <w:szCs w:val="26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 xml:space="preserve"> </w:t>
      </w: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На підтвердження відповідності системи захисту інформації Захищеного вузла Інтернет доступу (ЗВІД)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зв’язку та захисту інформації України та Експертного висновку до нього.</w:t>
      </w:r>
    </w:p>
    <w:p>
      <w:pPr>
        <w:pStyle w:val="Normal"/>
        <w:widowControl w:val="false"/>
        <w:tabs>
          <w:tab w:val="clear" w:pos="709"/>
          <w:tab w:val="left" w:pos="851" w:leader="none"/>
        </w:tabs>
        <w:suppressAutoHyphens w:val="true"/>
        <w:bidi w:val="0"/>
        <w:spacing w:before="0" w:after="0"/>
        <w:ind w:firstLine="709"/>
        <w:contextualSpacing/>
        <w:jc w:val="both"/>
        <w:rPr>
          <w:lang w:val="x-none"/>
        </w:rPr>
      </w:pPr>
      <w:r>
        <w:rPr>
          <w:rFonts w:eastAsia="Arial Unicode MS" w:cs="Times New Roman"/>
          <w:color w:val="auto"/>
          <w:kern w:val="0"/>
          <w:sz w:val="28"/>
          <w:szCs w:val="26"/>
          <w:lang w:val="uk-UA" w:eastAsia="ru-RU" w:bidi="ar-SA"/>
        </w:rPr>
        <w:t>7.5. Копії документів, що підтверджують відповідність системи менеджменту інформаційної безпеки вимогам стандарту ISO/IEC 27001.</w:t>
      </w:r>
    </w:p>
    <w:p>
      <w:pPr>
        <w:pStyle w:val="Normal"/>
        <w:widowControl w:val="false"/>
        <w:tabs>
          <w:tab w:val="clear" w:pos="709"/>
          <w:tab w:val="left" w:pos="851" w:leader="none"/>
        </w:tabs>
        <w:suppressAutoHyphens w:val="true"/>
        <w:bidi w:val="0"/>
        <w:spacing w:before="0" w:after="0"/>
        <w:ind w:firstLine="709"/>
        <w:contextualSpacing/>
        <w:jc w:val="both"/>
        <w:rPr>
          <w:lang w:val="x-none"/>
        </w:rPr>
      </w:pPr>
      <w:r>
        <w:rPr>
          <w:lang w:val="x-none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15000</w:t>
      </w:r>
      <w:r>
        <w:rPr>
          <w:bCs/>
          <w:color w:val="000000"/>
          <w:sz w:val="28"/>
          <w:szCs w:val="28"/>
          <w:lang w:val="uk-UA"/>
        </w:rPr>
        <w:t>,00 грн. (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П</w:t>
      </w:r>
      <w:r>
        <w:rPr>
          <w:bCs/>
          <w:color w:val="000000"/>
          <w:sz w:val="28"/>
          <w:szCs w:val="28"/>
          <w:lang w:val="uk-UA"/>
        </w:rPr>
        <w:t>’ятнадцять тисяч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5" w:hanging="705"/>
      </w:pPr>
      <w:rPr>
        <w:b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4"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paragraph" w:styleId="1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LibreOffice/6.4.3.2$Windows_X86_64 LibreOffice_project/747b5d0ebf89f41c860ec2a39efd7cb15b54f2d8</Application>
  <Pages>5</Pages>
  <Words>1551</Words>
  <Characters>10910</Characters>
  <CharactersWithSpaces>12354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dcterms:modified xsi:type="dcterms:W3CDTF">2022-01-11T13:59:04Z</dcterms:modified>
  <cp:revision>9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