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Послуги   з   проведення  метрологічної  повірки  ваг (код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 xml:space="preserve">ДК 021:2015: </w:t>
      </w:r>
      <w:bookmarkStart w:id="0" w:name="_Hlk5236587811"/>
      <w:bookmarkEnd w:id="0"/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>71630000-3 Послуги з технічного огляду та випробовувань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).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UA-2021-11-02-001074-а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необхідність у використанні різних видів ваг для забезпечення точних вимірів ваги товарів, які переміщуються через митний кордон України, виникла необхідність у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проведення  метрологічної  повірки  ваг, що знаходяться на балансі митниці</w:t>
      </w:r>
      <w:r>
        <w:rPr>
          <w:b w:val="false"/>
          <w:bCs w:val="false"/>
          <w:sz w:val="28"/>
          <w:szCs w:val="28"/>
        </w:rPr>
        <w:t xml:space="preserve">. З метою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підтримання функціонування ваг на належному рівні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28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42"/>
        <w:gridCol w:w="7875"/>
        <w:gridCol w:w="1311"/>
      </w:tblGrid>
      <w:tr>
        <w:trPr>
          <w:trHeight w:val="1212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з/п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предмету закупівлі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Кількість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послуг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rPr/>
            </w:pPr>
            <w:r>
              <w:rPr>
                <w:rFonts w:cs="Times New Roman"/>
                <w:lang w:val="ru-RU"/>
              </w:rPr>
              <w:t xml:space="preserve">Метрологічна повірка ваг електронних лабораторних </w:t>
            </w:r>
            <w:r>
              <w:rPr>
                <w:rFonts w:cs="Times New Roman"/>
              </w:rPr>
              <w:t>MW</w:t>
            </w:r>
            <w:r>
              <w:rPr>
                <w:rFonts w:cs="Times New Roman"/>
                <w:lang w:val="ru-RU"/>
              </w:rPr>
              <w:t>-300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Метрологічна повірка ваг електронних товарних СВП-300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Метрологічна повірка ваг електронних товарних ВПД-1010Л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1. Послуги повинні бути надані згідно нормативно-правових документів, передбачених для такого роду/виду послуг, в тому числі із дотриманням заходів екологічної безпеки та вимог техніки безпеки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2. Дані технічні вимоги до Послуг визначають важливі характеристики, що є обов`язковими для дотримання Учасником. 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3. Повне та своєчасне виконання всіх викладених нижче вимог до послуг є відповідальністю Учасника і контролюється Замовником.</w:t>
      </w:r>
    </w:p>
    <w:p>
      <w:pPr>
        <w:pStyle w:val="Normal"/>
        <w:tabs>
          <w:tab w:val="left" w:pos="709" w:leader="none"/>
        </w:tabs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4. Вартість наданих Послуг складається із вартості усіх матеріалів та комплектуючих, транспортних витрат, податків, зборів та всіх інших витрат, що мають бути здійснені у зв’язку із наданням Послуг.</w:t>
      </w:r>
    </w:p>
    <w:p>
      <w:pPr>
        <w:pStyle w:val="Normal"/>
        <w:tabs>
          <w:tab w:val="left" w:pos="709" w:leader="none"/>
        </w:tabs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Для надання Послуг Учасник використовує власні транспортні засоби, обладнання, запасні частини та витратні матеріали.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Передача ваг Учаснику для надання послуг  та прийняття послуг (ваг) здійснюється за адресою Замовника: м. Харків, вул. Короленка, 16-Б. 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7. Приймання – передавання ваг здійснюється з оформленням відповідного Акту прийому-передачі.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8. Учасник повинен організувати та провести метрологічну повірку</w:t>
      </w:r>
      <w:r>
        <w:rPr>
          <w:rFonts w:eastAsia="Times New Roman" w:cs="Times New Roman"/>
          <w:b w:val="false"/>
          <w:bCs w:val="false"/>
          <w:color w:val="auto"/>
          <w:spacing w:val="1"/>
          <w:kern w:val="0"/>
          <w:sz w:val="28"/>
          <w:szCs w:val="28"/>
          <w:lang w:val="uk-UA" w:eastAsia="ru-RU" w:bidi="ar-SA"/>
        </w:rPr>
        <w:t xml:space="preserve">  наданих ваг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 строки, визначені у Договорі.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9. Повірка ваг повинна відповідати вимогам Закону України «Про метрологію та метрологічну діяльність» від «05» червня 2014 року №1314-VІІ, Наказу Міністерства економічного розвитку і торгівлі України № 193 від 08.02.2016 року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та іншим чинним нормативним документам.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10. Замовник здійснює оплату за надані послуги протягом десяти банківських днів з дня підписання акту наданих послуг та виставлення рахунку при наявності коштів на відповідному коді бюджетної класифікації. Оплата проводиться шляхом перерахування грошових коштів на поточний рахунок Учасника, зазначений в Договорі.</w:t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11. Метрологічна повірка ваг включає контроль відповідності метрологічним характеристикам (характеристики згідно паспорту/керівництва по експлуатації до даного обладнання), регулювання метрологічних характеристик згідно відповідності метрологічним характеристикам.</w:t>
      </w:r>
    </w:p>
    <w:p>
      <w:pPr>
        <w:pStyle w:val="Normal"/>
        <w:ind w:firstLine="54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ListParagraph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12. Учасник забезпечує  проведення метрологічної повірки  ваг.</w:t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13. У разі виявлення недоліків по якості наданих послуг Учасник зобов’язаний усунути їх за власний рахунок протягом двох робочих днів або надати Акт технічного стану, в якому вказує причину неможливості проведення метрологічної повірки.</w:t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14. Витратні матеріали та  та комплектуючі, які використовуватимуться при наданні послуг, повинні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>24000,00 грн. (Двадцять чотири тисячі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LibreOffice/6.4.3.2$Windows_X86_64 LibreOffice_project/747b5d0ebf89f41c860ec2a39efd7cb15b54f2d8</Application>
  <Pages>3</Pages>
  <Words>690</Words>
  <Characters>4733</Characters>
  <CharactersWithSpaces>5412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cp:lastPrinted>2022-01-11T09:40:16Z</cp:lastPrinted>
  <dcterms:modified xsi:type="dcterms:W3CDTF">2022-01-11T13:59:43Z</dcterms:modified>
  <cp:revision>11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