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DE" w:rsidRPr="00E47C20" w:rsidRDefault="00693ADE" w:rsidP="00693ADE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:rsidR="00693ADE" w:rsidRPr="00E47C20" w:rsidRDefault="00693ADE" w:rsidP="00693ADE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01.04.2022-30.04.2022</w:t>
      </w:r>
    </w:p>
    <w:p w:rsidR="00693ADE" w:rsidRPr="00E47C20" w:rsidRDefault="00693ADE" w:rsidP="00693ADE">
      <w:pPr>
        <w:ind w:firstLine="709"/>
        <w:jc w:val="center"/>
        <w:rPr>
          <w:szCs w:val="28"/>
          <w:lang w:val="uk-UA"/>
        </w:rPr>
      </w:pPr>
    </w:p>
    <w:p w:rsidR="00693ADE" w:rsidRPr="00937D97" w:rsidRDefault="00693ADE" w:rsidP="00693ADE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Pr="002A5182">
        <w:rPr>
          <w:b/>
          <w:iCs/>
          <w:szCs w:val="28"/>
          <w:lang w:val="uk-UA"/>
        </w:rPr>
        <w:t>60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352455">
          <w:rPr>
            <w:rStyle w:val="a3"/>
            <w:szCs w:val="28"/>
          </w:rPr>
          <w:t>https://cc.customs.gov.ua</w:t>
        </w:r>
      </w:hyperlink>
      <w:r>
        <w:rPr>
          <w:iCs/>
          <w:szCs w:val="28"/>
        </w:rPr>
        <w:t>.</w:t>
      </w:r>
    </w:p>
    <w:p w:rsidR="00693ADE" w:rsidRPr="00703CCD" w:rsidRDefault="00693ADE" w:rsidP="00693ADE">
      <w:pPr>
        <w:pStyle w:val="a4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Львівської (</w:t>
      </w:r>
      <w:r>
        <w:rPr>
          <w:rFonts w:eastAsia="Calibri"/>
          <w:b/>
          <w:iCs/>
          <w:sz w:val="28"/>
          <w:szCs w:val="28"/>
          <w:lang w:eastAsia="en-US"/>
        </w:rPr>
        <w:t>27</w:t>
      </w:r>
      <w:r w:rsidRPr="00703CCD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>, 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>
        <w:rPr>
          <w:rFonts w:eastAsia="Calibri"/>
          <w:b/>
          <w:iCs/>
          <w:sz w:val="28"/>
          <w:szCs w:val="28"/>
          <w:lang w:eastAsia="en-US"/>
        </w:rPr>
        <w:t>9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2715EC">
        <w:rPr>
          <w:rFonts w:eastAsia="Calibri"/>
          <w:iCs/>
          <w:sz w:val="28"/>
          <w:szCs w:val="28"/>
          <w:lang w:eastAsia="en-US"/>
        </w:rPr>
        <w:t>та</w:t>
      </w:r>
      <w:r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CA493B">
        <w:rPr>
          <w:rFonts w:eastAsia="Calibri"/>
          <w:iCs/>
          <w:sz w:val="28"/>
          <w:szCs w:val="28"/>
          <w:lang w:eastAsia="en-US"/>
        </w:rPr>
        <w:t>Одеської (</w:t>
      </w:r>
      <w:r w:rsidRPr="006643E2">
        <w:rPr>
          <w:rFonts w:eastAsia="Calibri"/>
          <w:b/>
          <w:iCs/>
          <w:sz w:val="28"/>
          <w:szCs w:val="28"/>
          <w:lang w:eastAsia="en-US"/>
        </w:rPr>
        <w:t>7</w:t>
      </w:r>
      <w:r w:rsidRPr="00CA493B">
        <w:rPr>
          <w:rFonts w:eastAsia="Calibri"/>
          <w:iCs/>
          <w:sz w:val="28"/>
          <w:szCs w:val="28"/>
          <w:lang w:eastAsia="en-US"/>
        </w:rPr>
        <w:t>) митниць.</w:t>
      </w:r>
    </w:p>
    <w:p w:rsidR="00693ADE" w:rsidRPr="008005A7" w:rsidRDefault="00693ADE" w:rsidP="00693ADE">
      <w:pPr>
        <w:spacing w:before="120" w:after="120"/>
        <w:ind w:firstLine="709"/>
        <w:jc w:val="both"/>
        <w:rPr>
          <w:iCs/>
          <w:szCs w:val="28"/>
        </w:rPr>
      </w:pPr>
      <w:r w:rsidRPr="008005A7">
        <w:rPr>
          <w:iCs/>
          <w:szCs w:val="28"/>
        </w:rPr>
        <w:t xml:space="preserve">За результатами </w:t>
      </w:r>
      <w:r w:rsidRPr="008005A7">
        <w:rPr>
          <w:iCs/>
          <w:szCs w:val="28"/>
          <w:lang w:val="uk-UA"/>
        </w:rPr>
        <w:t>розгляду</w:t>
      </w:r>
      <w:r w:rsidRPr="008005A7">
        <w:rPr>
          <w:iCs/>
          <w:szCs w:val="28"/>
        </w:rPr>
        <w:t xml:space="preserve"> </w:t>
      </w:r>
      <w:r w:rsidRPr="008005A7">
        <w:rPr>
          <w:iCs/>
          <w:szCs w:val="28"/>
          <w:lang w:val="uk-UA"/>
        </w:rPr>
        <w:t>звернень</w:t>
      </w:r>
      <w:r w:rsidRPr="008005A7">
        <w:rPr>
          <w:iCs/>
          <w:szCs w:val="28"/>
        </w:rPr>
        <w:t>:</w:t>
      </w:r>
    </w:p>
    <w:p w:rsidR="00693ADE" w:rsidRDefault="00693ADE" w:rsidP="00693ADE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 w:rsidRPr="003A1A2D">
        <w:rPr>
          <w:b/>
          <w:iCs/>
          <w:szCs w:val="28"/>
          <w:lang w:val="uk-UA"/>
        </w:rPr>
        <w:t>4</w:t>
      </w:r>
      <w:r w:rsidRPr="003A1A2D">
        <w:rPr>
          <w:b/>
          <w:iCs/>
          <w:szCs w:val="28"/>
        </w:rPr>
        <w:t>9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розглянуто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надан</w:t>
      </w:r>
      <w:proofErr w:type="spellEnd"/>
      <w:r>
        <w:rPr>
          <w:iCs/>
          <w:szCs w:val="28"/>
          <w:lang w:val="uk-UA"/>
        </w:rPr>
        <w:t>о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відповідні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</w:t>
      </w:r>
      <w:r w:rsidRPr="00C34550">
        <w:rPr>
          <w:iCs/>
          <w:szCs w:val="28"/>
        </w:rPr>
        <w:t>’</w:t>
      </w:r>
      <w:r>
        <w:rPr>
          <w:iCs/>
          <w:szCs w:val="28"/>
        </w:rPr>
        <w:t>яснення</w:t>
      </w:r>
      <w:proofErr w:type="spellEnd"/>
      <w:r>
        <w:rPr>
          <w:iCs/>
          <w:szCs w:val="28"/>
        </w:rPr>
        <w:t>;</w:t>
      </w:r>
    </w:p>
    <w:p w:rsidR="00693ADE" w:rsidRPr="00424795" w:rsidRDefault="00693ADE" w:rsidP="00693ADE">
      <w:pPr>
        <w:spacing w:before="120"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 w:rsidRPr="003A1A2D">
        <w:rPr>
          <w:b/>
          <w:iCs/>
          <w:szCs w:val="28"/>
          <w:lang w:val="uk-UA"/>
        </w:rPr>
        <w:t>11</w:t>
      </w:r>
      <w:r>
        <w:rPr>
          <w:b/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звернень</w:t>
      </w:r>
      <w:r w:rsidRPr="00624903">
        <w:rPr>
          <w:b/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залишил</w:t>
      </w:r>
      <w:proofErr w:type="spellEnd"/>
      <w:r>
        <w:rPr>
          <w:iCs/>
          <w:szCs w:val="28"/>
          <w:lang w:val="uk-UA"/>
        </w:rPr>
        <w:t>о</w:t>
      </w:r>
      <w:proofErr w:type="spellStart"/>
      <w:r>
        <w:rPr>
          <w:iCs/>
          <w:szCs w:val="28"/>
        </w:rPr>
        <w:t>сь</w:t>
      </w:r>
      <w:proofErr w:type="spellEnd"/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(з них: </w:t>
      </w:r>
      <w:r>
        <w:rPr>
          <w:iCs/>
          <w:szCs w:val="28"/>
          <w:lang w:val="uk-UA"/>
        </w:rPr>
        <w:t>4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заявника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звернулись</w:t>
      </w:r>
      <w:proofErr w:type="spellEnd"/>
      <w:r>
        <w:rPr>
          <w:iCs/>
          <w:szCs w:val="28"/>
        </w:rPr>
        <w:t xml:space="preserve"> повторно з </w:t>
      </w:r>
      <w:proofErr w:type="spellStart"/>
      <w:r>
        <w:rPr>
          <w:iCs/>
          <w:szCs w:val="28"/>
        </w:rPr>
        <w:t>проханням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залишити</w:t>
      </w:r>
      <w:proofErr w:type="spellEnd"/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звернення</w:t>
      </w:r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, </w:t>
      </w:r>
      <w:r>
        <w:rPr>
          <w:iCs/>
          <w:szCs w:val="28"/>
          <w:lang w:val="uk-UA"/>
        </w:rPr>
        <w:t>7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 xml:space="preserve">звернень </w:t>
      </w:r>
      <w:r>
        <w:rPr>
          <w:iCs/>
          <w:szCs w:val="28"/>
        </w:rPr>
        <w:t xml:space="preserve">не </w:t>
      </w:r>
      <w:proofErr w:type="spellStart"/>
      <w:r>
        <w:rPr>
          <w:iCs/>
          <w:szCs w:val="28"/>
        </w:rPr>
        <w:t>відносились</w:t>
      </w:r>
      <w:proofErr w:type="spellEnd"/>
      <w:r>
        <w:rPr>
          <w:iCs/>
          <w:szCs w:val="28"/>
        </w:rPr>
        <w:t xml:space="preserve"> до </w:t>
      </w:r>
      <w:proofErr w:type="spellStart"/>
      <w:r>
        <w:rPr>
          <w:iCs/>
          <w:szCs w:val="28"/>
        </w:rPr>
        <w:t>компетенції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Держмитслужби</w:t>
      </w:r>
      <w:proofErr w:type="spellEnd"/>
      <w:r>
        <w:rPr>
          <w:iCs/>
          <w:szCs w:val="28"/>
          <w:lang w:val="uk-UA"/>
        </w:rPr>
        <w:t>).</w:t>
      </w:r>
    </w:p>
    <w:p w:rsidR="00693ADE" w:rsidRPr="008005A7" w:rsidRDefault="00693ADE" w:rsidP="00693ADE">
      <w:pPr>
        <w:ind w:firstLine="709"/>
        <w:jc w:val="both"/>
        <w:rPr>
          <w:iCs/>
          <w:szCs w:val="28"/>
        </w:rPr>
      </w:pPr>
      <w:proofErr w:type="spellStart"/>
      <w:r w:rsidRPr="008005A7">
        <w:rPr>
          <w:iCs/>
          <w:szCs w:val="28"/>
        </w:rPr>
        <w:t>Найбільш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актуальними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питаннями</w:t>
      </w:r>
      <w:proofErr w:type="spellEnd"/>
      <w:r w:rsidRPr="008005A7">
        <w:rPr>
          <w:iCs/>
          <w:szCs w:val="28"/>
        </w:rPr>
        <w:t xml:space="preserve">, </w:t>
      </w:r>
      <w:proofErr w:type="spellStart"/>
      <w:r w:rsidRPr="008005A7">
        <w:rPr>
          <w:iCs/>
          <w:szCs w:val="28"/>
        </w:rPr>
        <w:t>які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порушувались</w:t>
      </w:r>
      <w:proofErr w:type="spellEnd"/>
      <w:r w:rsidRPr="008005A7">
        <w:rPr>
          <w:iCs/>
          <w:szCs w:val="28"/>
        </w:rPr>
        <w:t xml:space="preserve"> у </w:t>
      </w:r>
      <w:r>
        <w:rPr>
          <w:iCs/>
          <w:szCs w:val="28"/>
          <w:lang w:val="uk-UA"/>
        </w:rPr>
        <w:t>зверненнях</w:t>
      </w:r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були</w:t>
      </w:r>
      <w:proofErr w:type="spellEnd"/>
      <w:r w:rsidRPr="008005A7">
        <w:rPr>
          <w:iCs/>
          <w:szCs w:val="28"/>
        </w:rPr>
        <w:t>:</w:t>
      </w:r>
    </w:p>
    <w:p w:rsidR="00693ADE" w:rsidRDefault="00693ADE" w:rsidP="00693ADE">
      <w:pPr>
        <w:ind w:firstLine="709"/>
        <w:jc w:val="both"/>
        <w:rPr>
          <w:iCs/>
          <w:szCs w:val="28"/>
        </w:rPr>
      </w:pPr>
    </w:p>
    <w:p w:rsidR="00693ADE" w:rsidRDefault="00693ADE" w:rsidP="00693ADE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надання роз</w:t>
      </w:r>
      <w:r>
        <w:rPr>
          <w:iCs/>
          <w:sz w:val="28"/>
          <w:szCs w:val="28"/>
          <w:lang w:val="en-US"/>
        </w:rPr>
        <w:t>’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:rsidR="00693ADE" w:rsidRPr="0066140F" w:rsidRDefault="00693ADE" w:rsidP="00693ADE">
      <w:pPr>
        <w:pStyle w:val="a4"/>
        <w:numPr>
          <w:ilvl w:val="0"/>
          <w:numId w:val="1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:rsidR="00693ADE" w:rsidRDefault="00693ADE" w:rsidP="00693ADE">
      <w:pPr>
        <w:pStyle w:val="a4"/>
        <w:ind w:left="709" w:hanging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F747A3">
        <w:rPr>
          <w:iCs/>
          <w:sz w:val="28"/>
          <w:szCs w:val="28"/>
        </w:rPr>
        <w:t xml:space="preserve">питання, що стосуються </w:t>
      </w:r>
      <w:r>
        <w:rPr>
          <w:iCs/>
          <w:sz w:val="28"/>
          <w:szCs w:val="28"/>
        </w:rPr>
        <w:t>адміністрування митних платежів;</w:t>
      </w:r>
    </w:p>
    <w:p w:rsidR="00693ADE" w:rsidRPr="00766C5E" w:rsidRDefault="00693ADE" w:rsidP="00693ADE">
      <w:pPr>
        <w:pStyle w:val="a4"/>
        <w:numPr>
          <w:ilvl w:val="0"/>
          <w:numId w:val="1"/>
        </w:numPr>
        <w:spacing w:before="120" w:after="120"/>
        <w:ind w:left="425" w:firstLine="142"/>
        <w:jc w:val="both"/>
      </w:pPr>
      <w:r w:rsidRPr="00766C5E">
        <w:rPr>
          <w:sz w:val="28"/>
          <w:szCs w:val="28"/>
        </w:rPr>
        <w:t>діяльність посадових і службових осіб</w:t>
      </w:r>
      <w:r>
        <w:rPr>
          <w:sz w:val="28"/>
          <w:szCs w:val="28"/>
        </w:rPr>
        <w:t>;</w:t>
      </w:r>
    </w:p>
    <w:p w:rsidR="00693ADE" w:rsidRPr="00766C5E" w:rsidRDefault="00693ADE" w:rsidP="00693ADE">
      <w:pPr>
        <w:pStyle w:val="a4"/>
        <w:numPr>
          <w:ilvl w:val="0"/>
          <w:numId w:val="1"/>
        </w:numPr>
        <w:spacing w:before="120" w:after="120"/>
        <w:ind w:left="425" w:firstLine="142"/>
        <w:jc w:val="both"/>
      </w:pPr>
      <w:r w:rsidRPr="00766C5E">
        <w:rPr>
          <w:iCs/>
          <w:sz w:val="28"/>
          <w:szCs w:val="28"/>
        </w:rPr>
        <w:t>питання належної організації митних постів</w:t>
      </w:r>
      <w:r>
        <w:rPr>
          <w:iCs/>
          <w:sz w:val="28"/>
          <w:szCs w:val="28"/>
        </w:rPr>
        <w:t>.</w:t>
      </w:r>
    </w:p>
    <w:p w:rsidR="00693ADE" w:rsidRDefault="00693ADE" w:rsidP="00693ADE">
      <w:pPr>
        <w:pStyle w:val="a4"/>
        <w:ind w:left="709" w:hanging="142"/>
        <w:jc w:val="both"/>
        <w:rPr>
          <w:iCs/>
          <w:sz w:val="28"/>
          <w:szCs w:val="28"/>
        </w:rPr>
      </w:pPr>
    </w:p>
    <w:p w:rsidR="0045766F" w:rsidRPr="00693ADE" w:rsidRDefault="00693ADE" w:rsidP="00693ADE">
      <w:pPr>
        <w:spacing w:after="160" w:line="259" w:lineRule="auto"/>
        <w:rPr>
          <w:lang w:val="uk-UA"/>
        </w:rPr>
      </w:pPr>
      <w:bookmarkStart w:id="0" w:name="_GoBack"/>
      <w:bookmarkEnd w:id="0"/>
    </w:p>
    <w:sectPr w:rsidR="0045766F" w:rsidRPr="00693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5"/>
    <w:rsid w:val="005339E5"/>
    <w:rsid w:val="00693ADE"/>
    <w:rsid w:val="00CF74DD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5D5"/>
  <w15:chartTrackingRefBased/>
  <w15:docId w15:val="{28A8CFD6-E6FE-44EA-AC56-F74496EF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3A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ADE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2022-07-11T10:11:00Z</dcterms:created>
  <dcterms:modified xsi:type="dcterms:W3CDTF">2022-07-11T10:11:00Z</dcterms:modified>
</cp:coreProperties>
</file>