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6B2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075037A3" w:rsidR="00786B0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6B2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7471B4" w:rsidRPr="007471B4">
        <w:rPr>
          <w:rFonts w:ascii="Times New Roman" w:hAnsi="Times New Roman" w:cs="Times New Roman"/>
          <w:b/>
          <w:bCs/>
          <w:sz w:val="24"/>
          <w:szCs w:val="24"/>
        </w:rPr>
        <w:t xml:space="preserve">ДК 021:2015 (СPV): 64210000-1 – </w:t>
      </w:r>
      <w:r w:rsidR="007471B4" w:rsidRPr="007471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Послуги телефонного зв’язку та передачі даних</w:t>
      </w:r>
      <w:r w:rsidR="007471B4" w:rsidRPr="007471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471B4" w:rsidRPr="00747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Послуги телефонного зв’язку</w:t>
      </w:r>
      <w:r w:rsidR="007471B4" w:rsidRPr="007471B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B426B2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B426B2" w:rsidRDefault="002B72A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B426B2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F3D00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7F3D00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66B139B6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</w:t>
      </w:r>
      <w:r w:rsidR="007F3D00"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 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12.</w:t>
      </w:r>
    </w:p>
    <w:p w14:paraId="785D5A7B" w14:textId="1655D6B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7BDC71DF" w:rsidR="002B72AC" w:rsidRPr="007F3D0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7F3D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ДК 021:2015 (СPV): 64210000-1 – </w:t>
      </w:r>
      <w:r w:rsidR="007471B4" w:rsidRPr="007F3D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Послуги телефонного зв’язку та передачі даних</w:t>
      </w:r>
      <w:r w:rsidR="007471B4"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471B4" w:rsidRPr="007F3D0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Послуги телефонного зв’язку</w:t>
      </w:r>
      <w:r w:rsidR="007471B4" w:rsidRPr="007F3D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871908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6BE7356F" w:rsidR="002B72AC" w:rsidRPr="007F3D0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390515">
        <w:rPr>
          <w:rFonts w:ascii="Times New Roman" w:hAnsi="Times New Roman" w:cs="Times New Roman"/>
          <w:sz w:val="24"/>
          <w:szCs w:val="24"/>
        </w:rPr>
        <w:t>звіт</w:t>
      </w:r>
      <w:r w:rsidR="007F3D00" w:rsidRPr="007F3D00">
        <w:rPr>
          <w:rFonts w:ascii="Times New Roman" w:hAnsi="Times New Roman" w:cs="Times New Roman"/>
          <w:sz w:val="24"/>
          <w:szCs w:val="24"/>
        </w:rPr>
        <w:t xml:space="preserve"> про договір про закупівлю, укладений без використання електронної системи закупівель відповідно до пп. 5 (3) п. 13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7F3D00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5" w:tgtFrame="_blank" w:history="1">
        <w:r w:rsidR="00D34BEC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UA-2023-0</w:t>
        </w:r>
        <w:r w:rsidR="007471B4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3</w:t>
        </w:r>
        <w:r w:rsidR="00D34BEC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7471B4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7</w:t>
        </w:r>
        <w:r w:rsidR="00D34BEC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7471B4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01736</w:t>
        </w:r>
        <w:r w:rsidR="00D34BEC" w:rsidRPr="007F3D00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-a</w:t>
        </w:r>
      </w:hyperlink>
      <w:r w:rsidR="00D34BEC" w:rsidRPr="007F3D00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77777777" w:rsidR="007471B4" w:rsidRPr="007F3D0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>17 760 грн. 00 коп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. 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>з ПДВ (</w:t>
      </w:r>
      <w:r w:rsidR="007471B4" w:rsidRPr="007F3D00">
        <w:rPr>
          <w:rFonts w:ascii="Times New Roman" w:hAnsi="Times New Roman" w:cs="Times New Roman"/>
          <w:color w:val="000000"/>
          <w:sz w:val="24"/>
          <w:szCs w:val="24"/>
        </w:rPr>
        <w:t>сімнадцять тисяч сімсот шістдесят гривень 00 копійок з ПДВ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445C3656" w14:textId="77777777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>Відповідно до кошторису Запорізької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17 760 грн. 00 коп</w:t>
      </w:r>
      <w:r w:rsidRPr="007F3D00">
        <w:rPr>
          <w:rFonts w:ascii="Times New Roman" w:hAnsi="Times New Roman" w:cs="Times New Roman"/>
          <w:sz w:val="24"/>
          <w:szCs w:val="24"/>
        </w:rPr>
        <w:t xml:space="preserve">. </w:t>
      </w:r>
      <w:r w:rsidRPr="007F3D00">
        <w:rPr>
          <w:rFonts w:ascii="Times New Roman" w:hAnsi="Times New Roman" w:cs="Times New Roman"/>
          <w:b/>
          <w:sz w:val="24"/>
          <w:szCs w:val="24"/>
        </w:rPr>
        <w:t>з ПДВ (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сімнадцять тисяч сімсот шістдесят гривень 00 копійок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для забезпечення надійним міським, міжміським телефонним зв’язком </w:t>
      </w:r>
      <w:r w:rsidRPr="007F3D00">
        <w:rPr>
          <w:rFonts w:ascii="Times New Roman" w:hAnsi="Times New Roman" w:cs="Times New Roman"/>
          <w:sz w:val="24"/>
          <w:szCs w:val="24"/>
        </w:rPr>
        <w:t>Запорізьку митницю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9336F8" w14:textId="209D625A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оператора.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58F76" w14:textId="13EA30B2" w:rsidR="002B72AC" w:rsidRPr="007F3D0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7F3D00">
        <w:rPr>
          <w:rFonts w:ascii="Times New Roman" w:hAnsi="Times New Roman" w:cs="Times New Roman"/>
          <w:sz w:val="24"/>
          <w:szCs w:val="24"/>
        </w:rPr>
        <w:t xml:space="preserve">Термін </w:t>
      </w:r>
      <w:r w:rsidR="00B426B2" w:rsidRPr="007F3D00">
        <w:rPr>
          <w:rFonts w:ascii="Times New Roman" w:hAnsi="Times New Roman" w:cs="Times New Roman"/>
          <w:sz w:val="24"/>
          <w:szCs w:val="24"/>
        </w:rPr>
        <w:t xml:space="preserve">надання послуг </w:t>
      </w:r>
      <w:r w:rsidRPr="007F3D00">
        <w:rPr>
          <w:rFonts w:ascii="Times New Roman" w:hAnsi="Times New Roman" w:cs="Times New Roman"/>
          <w:sz w:val="24"/>
          <w:szCs w:val="24"/>
        </w:rPr>
        <w:t xml:space="preserve">— з </w:t>
      </w:r>
      <w:r w:rsidR="007F3D00" w:rsidRPr="007F3D00">
        <w:rPr>
          <w:rFonts w:ascii="Times New Roman" w:hAnsi="Times New Roman" w:cs="Times New Roman"/>
          <w:sz w:val="24"/>
          <w:szCs w:val="24"/>
        </w:rPr>
        <w:t>01.01.2023</w:t>
      </w:r>
      <w:r w:rsidRPr="007F3D00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7F3D00">
        <w:rPr>
          <w:rFonts w:ascii="Times New Roman" w:hAnsi="Times New Roman" w:cs="Times New Roman"/>
          <w:sz w:val="24"/>
          <w:szCs w:val="24"/>
        </w:rPr>
        <w:t>31.12.202</w:t>
      </w:r>
      <w:r w:rsidR="00EA1382" w:rsidRPr="007F3D00">
        <w:rPr>
          <w:rFonts w:ascii="Times New Roman" w:hAnsi="Times New Roman" w:cs="Times New Roman"/>
          <w:sz w:val="24"/>
          <w:szCs w:val="24"/>
        </w:rPr>
        <w:t>3</w:t>
      </w:r>
      <w:r w:rsidRPr="007F3D00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1A5ACEB8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Приватне акціонерне товариство «ФАРЛЕП-ІНВЕСТ» </w:t>
      </w: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– сучасне підприємство з розвиненою інфраструктурою, лідирує на ринку телекомунікаційних послуг, які відповідають встановленим вимогам щодо систем захисту інформації у сфері захисту інформації в Україні. Має потужну магістральну мережу передавання даних, побудовану на базі сучасних технологій та сучасного передового обладнання. Надання  телекомунікаційних послуг необхідне для забезпечення виконання функцій, покладених на підрозділи митниці, у тому числі для забезпечення відповідним доступом до телефонної мережі загального користування посадових осіб митниці:</w:t>
      </w:r>
    </w:p>
    <w:p w14:paraId="28B92935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— з питань контролю за переміщенням товарів;</w:t>
      </w:r>
    </w:p>
    <w:p w14:paraId="626EB137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— з питань захисту інтелектуальної власності;</w:t>
      </w:r>
    </w:p>
    <w:p w14:paraId="4B917873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— з питань класифікації товарів;</w:t>
      </w:r>
    </w:p>
    <w:p w14:paraId="26C6BC14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— з питань фінансово-економічної роботи;</w:t>
      </w:r>
    </w:p>
    <w:p w14:paraId="312A1F1D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— з питань організації митного контролю.</w:t>
      </w:r>
    </w:p>
    <w:p w14:paraId="37F858D4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lastRenderedPageBreak/>
        <w:t>Для забезпечення Запорізької митниці надійним телефонним зв’язком використовуються послуги ПрАТ «ФАРЛЕП-ІНВЕСТ». До складу телекомунікаційних послуг, що надаються оператором ПрАТ «ФАРЛЕП-ІНВЕСТ», входить:</w:t>
      </w:r>
    </w:p>
    <w:p w14:paraId="4D7486D2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надання в користування 1 послуги «</w:t>
      </w:r>
      <w:r w:rsidRPr="007F3D00">
        <w:rPr>
          <w:rFonts w:ascii="Times New Roman" w:hAnsi="Times New Roman" w:cs="Times New Roman"/>
          <w:color w:val="000000"/>
          <w:sz w:val="24"/>
          <w:szCs w:val="24"/>
          <w:lang w:val="en-US" w:eastAsia="ru-RU" w:bidi="uk-UA"/>
        </w:rPr>
        <w:t>SIP</w:t>
      </w: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  <w:lang w:val="en-US" w:eastAsia="ru-RU" w:bidi="uk-UA"/>
        </w:rPr>
        <w:t>trunk</w:t>
      </w: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»;</w:t>
      </w:r>
    </w:p>
    <w:p w14:paraId="0A64FCE9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надання в користування 40 додаткових телефонних номерів.</w:t>
      </w:r>
    </w:p>
    <w:p w14:paraId="5F472938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 xml:space="preserve">Надання телекомунікаційних послуг здійснюється в цілодобовому режимі і не передбачає можливості припинення та зміни оператора телекомунікаційних для отримання вищезазначених послуг. Зміна існуючого оператора ПрАТ «ФАРЛЕП-ІНВЕСТ» на іншого можливого оператора телекомунікації призведе до: </w:t>
      </w:r>
    </w:p>
    <w:p w14:paraId="48053A7C" w14:textId="77777777" w:rsidR="007F3D00" w:rsidRPr="007F3D00" w:rsidRDefault="007F3D00" w:rsidP="007F3D00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необхідності побудови нових каналів зв’язку, що не може бути виконано в короткий термін і призведе до тимчасового призупинення отримання телекомунікаційних послуг, а також до додаткових видатків і втрат державних коштів;</w:t>
      </w:r>
    </w:p>
    <w:p w14:paraId="0BA18B87" w14:textId="77777777" w:rsidR="007F3D00" w:rsidRPr="007F3D00" w:rsidRDefault="007F3D00" w:rsidP="007F3D00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погіршення оперативного зв'язку зі структурними підрозділами, органами державної влади, що зашкодить роботі Запорізької митниці;</w:t>
      </w:r>
    </w:p>
    <w:p w14:paraId="4F7283C6" w14:textId="77777777" w:rsidR="007F3D00" w:rsidRPr="007F3D00" w:rsidRDefault="007F3D00" w:rsidP="007F3D00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виникнення проблем технічного характеру, пов’язаних з експлуатацією та обслуговуванням;</w:t>
      </w:r>
    </w:p>
    <w:p w14:paraId="77361293" w14:textId="77777777" w:rsidR="007F3D00" w:rsidRPr="007F3D00" w:rsidRDefault="007F3D00" w:rsidP="007F3D00">
      <w:pPr>
        <w:widowControl w:val="0"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- виникнення проблем фінансового характеру, пов’язаних з фактичним наданням послуг митниці з 01.01.2023.</w:t>
      </w:r>
    </w:p>
    <w:p w14:paraId="707394D3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Також слід зазначити, що:</w:t>
      </w:r>
    </w:p>
    <w:p w14:paraId="1D215392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оператор ПрАТ «ФАРЛЕП-ІНВЕСТ» виконує усі вимоги замовника послуг;</w:t>
      </w:r>
    </w:p>
    <w:p w14:paraId="228FD7B1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– використовування діючих мережевих комунікацій, вже побудованих певним постачальником послуг – ПрАТ «ФАРЛЕП-ІНВЕСТ» дозволить заощадити кошти Державного бюджету та забезпечить безперервне функціонування Запорізької митниці.</w:t>
      </w:r>
    </w:p>
    <w:p w14:paraId="03525801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hAnsi="Times New Roman" w:cs="Times New Roman"/>
          <w:color w:val="000000"/>
          <w:sz w:val="24"/>
          <w:szCs w:val="24"/>
          <w:lang w:eastAsia="ru-RU" w:bidi="uk-UA"/>
        </w:rPr>
        <w:t>Укладення договору без використання електронної системи</w:t>
      </w: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 xml:space="preserve"> закупівель дозволить також уникнути:</w:t>
      </w:r>
    </w:p>
    <w:p w14:paraId="0906C268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- збоїв у роботі та порушення сталого функціонування доступу до Інтернет;</w:t>
      </w:r>
    </w:p>
    <w:p w14:paraId="635CD16B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- порушення безперервності зв’язку;</w:t>
      </w:r>
    </w:p>
    <w:p w14:paraId="7ADAEB32" w14:textId="77777777" w:rsidR="007F3D00" w:rsidRPr="007F3D00" w:rsidRDefault="007F3D00" w:rsidP="007F3D00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</w:pPr>
      <w:r w:rsidRPr="007F3D00">
        <w:rPr>
          <w:rFonts w:ascii="Times New Roman" w:eastAsia="Tahoma" w:hAnsi="Times New Roman" w:cs="Times New Roman"/>
          <w:color w:val="000000"/>
          <w:sz w:val="24"/>
          <w:szCs w:val="24"/>
          <w:lang w:bidi="uk-UA"/>
        </w:rPr>
        <w:t>- виникнення проблем технічного характеру, пов’язаних з експлуатацією та обслуговуванням телекомунікаційної системи.</w:t>
      </w:r>
    </w:p>
    <w:p w14:paraId="3B7DDF51" w14:textId="77777777" w:rsidR="007F3D00" w:rsidRPr="007F3D00" w:rsidRDefault="007F3D00" w:rsidP="007F3D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color w:val="010101"/>
          <w:sz w:val="24"/>
          <w:szCs w:val="24"/>
        </w:rPr>
        <w:t>Документи,  що підтверджують наявність умов застосування п. 13 Особливостей, а саме: відсутність конкуренції з технічних причин:</w:t>
      </w:r>
    </w:p>
    <w:p w14:paraId="66ECED88" w14:textId="77777777" w:rsidR="007F3D00" w:rsidRPr="007F3D00" w:rsidRDefault="007F3D00" w:rsidP="007F3D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Закону України «Про публічні закупівлі» № </w:t>
      </w:r>
      <w:r w:rsidRPr="007F3D00">
        <w:rPr>
          <w:rStyle w:val="ng-binding"/>
          <w:rFonts w:ascii="Times New Roman" w:hAnsi="Times New Roman" w:cs="Times New Roman"/>
          <w:sz w:val="24"/>
          <w:szCs w:val="24"/>
        </w:rPr>
        <w:t xml:space="preserve">922-VIII </w:t>
      </w:r>
      <w:r w:rsidRPr="007F3D00">
        <w:rPr>
          <w:rFonts w:ascii="Times New Roman" w:hAnsi="Times New Roman" w:cs="Times New Roman"/>
          <w:sz w:val="24"/>
          <w:szCs w:val="24"/>
        </w:rPr>
        <w:t>(зі змінами);</w:t>
      </w:r>
    </w:p>
    <w:p w14:paraId="2A6162B5" w14:textId="77777777" w:rsidR="007F3D00" w:rsidRPr="007F3D00" w:rsidRDefault="007F3D00" w:rsidP="007F3D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Постанова Кабінету Міністрів України від 12.10.2022р. № 1178 «Особливостей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</w:t>
      </w:r>
      <w:r w:rsidRPr="007F3D00">
        <w:rPr>
          <w:rFonts w:ascii="Times New Roman" w:hAnsi="Times New Roman" w:cs="Times New Roman"/>
          <w:sz w:val="24"/>
          <w:szCs w:val="24"/>
        </w:rPr>
        <w:t>(зі змінами)</w:t>
      </w:r>
      <w:r w:rsidRPr="007F3D0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5148D99" w14:textId="77777777" w:rsidR="007F3D00" w:rsidRPr="007F3D00" w:rsidRDefault="007F3D00" w:rsidP="007F3D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>Закону України «Про телекомунікації» від 18.11.2003 № 1280-</w:t>
      </w:r>
      <w:r w:rsidRPr="007F3D0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F3D00">
        <w:rPr>
          <w:rFonts w:ascii="Times New Roman" w:hAnsi="Times New Roman" w:cs="Times New Roman"/>
          <w:sz w:val="24"/>
          <w:szCs w:val="24"/>
        </w:rPr>
        <w:t xml:space="preserve"> (зі змінами);</w:t>
      </w:r>
    </w:p>
    <w:p w14:paraId="30890A3D" w14:textId="77777777" w:rsidR="007F3D00" w:rsidRPr="007F3D00" w:rsidRDefault="007F3D00" w:rsidP="007F3D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>Постанова Кабінету Міністрів України від 11.04.2012 № 295 «Про затвердження Правил надання та отримання телекомунікаційних послуг»;</w:t>
      </w:r>
    </w:p>
    <w:p w14:paraId="145A901E" w14:textId="77777777" w:rsidR="007F3D00" w:rsidRPr="007F3D00" w:rsidRDefault="007F3D00" w:rsidP="007F3D0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>Рішення «Національної комісії, що здійснює державне регулювання у сфері зв’язку та інформатизації (НКРЗІ)» від 01.06.2007 № 769 «Про затвердження Положення про державне регулювання номерного ресурсу телекомунікаційної мережі загального користування України»;</w:t>
      </w:r>
    </w:p>
    <w:p w14:paraId="71578D16" w14:textId="77777777" w:rsidR="007F3D00" w:rsidRPr="007F3D00" w:rsidRDefault="007F3D00" w:rsidP="007F3D0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10101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>Рішення «Національної комісії, що здійснює державне регулювання у сфері зв’язку та інформатизації (НКРЗІ)» від 10.11.2020 № 430 «Про результати аналізу ринків послуг доступу до фіксованої телефонної мережі загального користування для споживачів (фізичних та юридичних осіб)»;</w:t>
      </w:r>
    </w:p>
    <w:p w14:paraId="46CC7C0E" w14:textId="77777777" w:rsidR="007F3D00" w:rsidRPr="007F3D00" w:rsidRDefault="007F3D00" w:rsidP="007F3D0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10101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>Витяг з реєстру операторів, провайдерів телекомунікацій № 1117 від 21.12.2021;</w:t>
      </w:r>
    </w:p>
    <w:p w14:paraId="2DBFF0B1" w14:textId="77777777" w:rsidR="007F3D00" w:rsidRPr="007F3D00" w:rsidRDefault="007F3D00" w:rsidP="007F3D0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10101"/>
          <w:sz w:val="24"/>
          <w:szCs w:val="24"/>
        </w:rPr>
      </w:pPr>
      <w:r w:rsidRPr="007F3D00">
        <w:rPr>
          <w:rFonts w:ascii="Times New Roman" w:hAnsi="Times New Roman" w:cs="Times New Roman"/>
          <w:color w:val="010101"/>
          <w:sz w:val="24"/>
          <w:szCs w:val="24"/>
        </w:rPr>
        <w:t>Дозвіл на використання номерного ресурсу серія НР 100579 від 11.12.2020.</w:t>
      </w:r>
    </w:p>
    <w:p w14:paraId="37817458" w14:textId="77777777" w:rsidR="007F3D00" w:rsidRDefault="007F3D00" w:rsidP="007F3D00">
      <w:pPr>
        <w:jc w:val="both"/>
        <w:rPr>
          <w:sz w:val="24"/>
          <w:szCs w:val="24"/>
        </w:rPr>
      </w:pPr>
      <w:bookmarkStart w:id="0" w:name="_GoBack"/>
      <w:bookmarkEnd w:id="0"/>
    </w:p>
    <w:sectPr w:rsidR="007F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B72AC"/>
    <w:rsid w:val="00390515"/>
    <w:rsid w:val="0053501A"/>
    <w:rsid w:val="007471B4"/>
    <w:rsid w:val="00786B0C"/>
    <w:rsid w:val="007F3D00"/>
    <w:rsid w:val="00A37F45"/>
    <w:rsid w:val="00A52318"/>
    <w:rsid w:val="00B426B2"/>
    <w:rsid w:val="00C45D05"/>
    <w:rsid w:val="00C770DE"/>
    <w:rsid w:val="00CF7110"/>
    <w:rsid w:val="00D34BEC"/>
    <w:rsid w:val="00D626B8"/>
    <w:rsid w:val="00EA1382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B7BEA-C5E2-46DE-B1DD-8380BE5B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2-08-0126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4051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15</cp:revision>
  <cp:lastPrinted>2023-03-10T07:35:00Z</cp:lastPrinted>
  <dcterms:created xsi:type="dcterms:W3CDTF">2022-11-02T07:29:00Z</dcterms:created>
  <dcterms:modified xsi:type="dcterms:W3CDTF">2023-03-13T12:27:00Z</dcterms:modified>
</cp:coreProperties>
</file>