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D2C24">
        <w:t xml:space="preserve">Послуги з </w:t>
      </w:r>
      <w:r w:rsidR="001F343E">
        <w:t>оцінки та аналізу щодо товарів, шо переходять у власність держави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1F343E">
        <w:t>71620000-0 Аналітичні послуги</w:t>
      </w:r>
      <w:r w:rsidR="00EB3B46">
        <w:t>.</w:t>
      </w:r>
    </w:p>
    <w:p w:rsidR="007C2BD8" w:rsidRPr="00167E2B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290732" w:rsidRPr="00290732">
        <w:rPr>
          <w:lang w:val="en-US"/>
        </w:rPr>
        <w:t>UA-2022-002-22-014597-b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0442E8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290732">
        <w:t>10000</w:t>
      </w:r>
      <w:bookmarkStart w:id="0" w:name="_GoBack"/>
      <w:bookmarkEnd w:id="0"/>
      <w:r w:rsidR="00442E42">
        <w:t>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</w:t>
      </w:r>
      <w:r w:rsidR="000442E8">
        <w:t>спрощеної закупівлі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63" w:rsidRDefault="006B7D63">
      <w:r>
        <w:separator/>
      </w:r>
    </w:p>
  </w:endnote>
  <w:endnote w:type="continuationSeparator" w:id="0">
    <w:p w:rsidR="006B7D63" w:rsidRDefault="006B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63" w:rsidRDefault="006B7D63">
      <w:r>
        <w:separator/>
      </w:r>
    </w:p>
  </w:footnote>
  <w:footnote w:type="continuationSeparator" w:id="0">
    <w:p w:rsidR="006B7D63" w:rsidRDefault="006B7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2E8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67E2B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343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073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32AD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42E42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13A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420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B7D63"/>
    <w:rsid w:val="006C077B"/>
    <w:rsid w:val="006C14DE"/>
    <w:rsid w:val="006C197E"/>
    <w:rsid w:val="006D2C24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969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57A0"/>
    <w:rsid w:val="00B879D1"/>
    <w:rsid w:val="00B91371"/>
    <w:rsid w:val="00B916E6"/>
    <w:rsid w:val="00B91DC2"/>
    <w:rsid w:val="00B93864"/>
    <w:rsid w:val="00B95B1B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CBA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2BDA"/>
    <w:rsid w:val="00DE63B5"/>
    <w:rsid w:val="00DE6991"/>
    <w:rsid w:val="00DE6D4E"/>
    <w:rsid w:val="00DE7818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44D56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3B46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E8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2023-03-15T13:54:00Z</dcterms:created>
  <dcterms:modified xsi:type="dcterms:W3CDTF">2023-03-15T13:54:00Z</dcterms:modified>
</cp:coreProperties>
</file>