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C13AF">
        <w:t>Електрична енергія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C13AF">
        <w:t>09310000-5 Електрична енергія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442E8">
        <w:t>9-</w:t>
      </w:r>
      <w:r w:rsidR="004C13AF">
        <w:t>02-007560-а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C13AF">
        <w:t>87500,00</w:t>
      </w:r>
      <w:bookmarkStart w:id="0" w:name="_GoBack"/>
      <w:bookmarkEnd w:id="0"/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09" w:rsidRDefault="00B80E09">
      <w:r>
        <w:separator/>
      </w:r>
    </w:p>
  </w:endnote>
  <w:endnote w:type="continuationSeparator" w:id="0">
    <w:p w:rsidR="00B80E09" w:rsidRDefault="00B8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09" w:rsidRDefault="00B80E09">
      <w:r>
        <w:separator/>
      </w:r>
    </w:p>
  </w:footnote>
  <w:footnote w:type="continuationSeparator" w:id="0">
    <w:p w:rsidR="00B80E09" w:rsidRDefault="00B8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0E09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96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2023-03-14T14:55:00Z</dcterms:created>
  <dcterms:modified xsi:type="dcterms:W3CDTF">2023-03-14T14:56:00Z</dcterms:modified>
</cp:coreProperties>
</file>