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1232563" w:rsidR="00AA460C" w:rsidRPr="00F86C3F" w:rsidRDefault="002F3714">
      <w:pPr>
        <w:spacing w:after="0" w:line="240" w:lineRule="auto"/>
        <w:jc w:val="center"/>
        <w:rPr>
          <w:rFonts w:ascii="Times New Roman" w:eastAsia="Times New Roman" w:hAnsi="Times New Roman"/>
          <w:b/>
          <w:sz w:val="36"/>
          <w:szCs w:val="26"/>
        </w:rPr>
      </w:pPr>
      <w:r w:rsidRPr="00F86C3F">
        <w:rPr>
          <w:rFonts w:ascii="Times New Roman" w:eastAsia="Times New Roman" w:hAnsi="Times New Roman"/>
          <w:b/>
          <w:sz w:val="36"/>
          <w:szCs w:val="26"/>
        </w:rPr>
        <w:t xml:space="preserve">Державна митна служба України </w:t>
      </w:r>
    </w:p>
    <w:p w14:paraId="00000002" w14:textId="77777777" w:rsidR="00AA460C" w:rsidRPr="00F86C3F" w:rsidRDefault="006D181D">
      <w:pPr>
        <w:spacing w:before="280" w:after="0" w:line="240" w:lineRule="auto"/>
        <w:jc w:val="center"/>
        <w:rPr>
          <w:rFonts w:ascii="Times New Roman" w:eastAsia="Times New Roman" w:hAnsi="Times New Roman"/>
          <w:b/>
          <w:sz w:val="26"/>
          <w:szCs w:val="26"/>
        </w:rPr>
      </w:pPr>
      <w:r w:rsidRPr="00F86C3F">
        <w:rPr>
          <w:rFonts w:ascii="Times New Roman" w:eastAsia="Times New Roman" w:hAnsi="Times New Roman"/>
          <w:b/>
          <w:sz w:val="26"/>
          <w:szCs w:val="26"/>
        </w:rPr>
        <w:t xml:space="preserve">ОБҐРУНТУВАННЯ </w:t>
      </w:r>
    </w:p>
    <w:p w14:paraId="00000003" w14:textId="77777777" w:rsidR="00AA460C" w:rsidRPr="00F86C3F" w:rsidRDefault="006D181D">
      <w:pPr>
        <w:spacing w:after="280" w:line="240" w:lineRule="auto"/>
        <w:jc w:val="center"/>
        <w:rPr>
          <w:rFonts w:ascii="Times New Roman" w:eastAsia="Times New Roman" w:hAnsi="Times New Roman"/>
          <w:b/>
          <w:sz w:val="26"/>
          <w:szCs w:val="26"/>
          <w:u w:val="single"/>
        </w:rPr>
      </w:pPr>
      <w:r w:rsidRPr="00F86C3F">
        <w:rPr>
          <w:rFonts w:ascii="Times New Roman" w:eastAsia="Times New Roman" w:hAnsi="Times New Roman"/>
          <w:sz w:val="26"/>
          <w:szCs w:val="26"/>
        </w:rPr>
        <w:t xml:space="preserve">технічних та якісних характеристик </w:t>
      </w:r>
      <w:r w:rsidRPr="00F86C3F">
        <w:rPr>
          <w:rFonts w:ascii="Times New Roman" w:eastAsia="Times New Roman" w:hAnsi="Times New Roman"/>
          <w:b/>
          <w:sz w:val="26"/>
          <w:szCs w:val="26"/>
        </w:rPr>
        <w:t>закупівлі реактивної електричної енергії,</w:t>
      </w:r>
      <w:r w:rsidRPr="00F86C3F">
        <w:rPr>
          <w:rFonts w:ascii="Times New Roman" w:eastAsia="Times New Roman" w:hAnsi="Times New Roman"/>
          <w:sz w:val="26"/>
          <w:szCs w:val="26"/>
        </w:rPr>
        <w:t xml:space="preserve"> розміру бюджетного призначення, очікуваної вартості предмета закупівлі</w:t>
      </w:r>
    </w:p>
    <w:p w14:paraId="00000004" w14:textId="77777777" w:rsidR="00AA460C" w:rsidRPr="00F86C3F" w:rsidRDefault="006D181D">
      <w:pPr>
        <w:spacing w:before="280" w:after="280" w:line="240" w:lineRule="auto"/>
        <w:jc w:val="both"/>
        <w:rPr>
          <w:rFonts w:ascii="Times New Roman" w:eastAsia="Times New Roman" w:hAnsi="Times New Roman"/>
          <w:i/>
          <w:sz w:val="26"/>
          <w:szCs w:val="26"/>
        </w:rPr>
      </w:pPr>
      <w:r w:rsidRPr="00F86C3F">
        <w:rPr>
          <w:rFonts w:ascii="Times New Roman" w:eastAsia="Times New Roman" w:hAnsi="Times New Roman"/>
          <w:i/>
          <w:sz w:val="26"/>
          <w:szCs w:val="26"/>
        </w:rPr>
        <w:t>(оприлюднюється на виконання постанови КМУ № 710 від 11.10.2016 «Про ефективне використання державних коштів» (зі змінами))</w:t>
      </w:r>
    </w:p>
    <w:p w14:paraId="00000005" w14:textId="281FE405" w:rsidR="00AA460C" w:rsidRPr="00F86C3F" w:rsidRDefault="006D181D" w:rsidP="00F86C3F">
      <w:pPr>
        <w:pBdr>
          <w:top w:val="nil"/>
          <w:left w:val="nil"/>
          <w:bottom w:val="nil"/>
          <w:right w:val="nil"/>
          <w:between w:val="nil"/>
        </w:pBdr>
        <w:spacing w:line="240" w:lineRule="auto"/>
        <w:jc w:val="both"/>
        <w:rPr>
          <w:rFonts w:ascii="Times New Roman" w:eastAsia="Times New Roman" w:hAnsi="Times New Roman"/>
          <w:i/>
          <w:color w:val="000000"/>
          <w:sz w:val="26"/>
          <w:szCs w:val="26"/>
        </w:rPr>
      </w:pPr>
      <w:r w:rsidRPr="00F86C3F">
        <w:rPr>
          <w:rFonts w:ascii="Times New Roman" w:eastAsia="Times New Roman" w:hAnsi="Times New Roman"/>
          <w:b/>
          <w:color w:val="000000"/>
          <w:sz w:val="26"/>
          <w:szCs w:val="26"/>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F86C3F" w:rsidRPr="00F86C3F">
        <w:rPr>
          <w:rFonts w:ascii="Times New Roman" w:eastAsia="Times New Roman" w:hAnsi="Times New Roman"/>
          <w:color w:val="000000"/>
          <w:sz w:val="26"/>
          <w:szCs w:val="26"/>
        </w:rPr>
        <w:t>Державна митна служба України; вул. Дегтярівська, 11-Г, м. Київ, 04119; код за ЄДРПОУ – 43115923; категорія замовника – орган державної  влади.</w:t>
      </w:r>
    </w:p>
    <w:p w14:paraId="55323A64" w14:textId="77777777" w:rsidR="00F86C3F" w:rsidRPr="00A947C1" w:rsidRDefault="006D181D" w:rsidP="00F86C3F">
      <w:pPr>
        <w:pStyle w:val="Standard"/>
        <w:widowControl/>
        <w:shd w:val="clear" w:color="auto" w:fill="FFFFFF"/>
        <w:tabs>
          <w:tab w:val="left" w:pos="426"/>
        </w:tabs>
        <w:jc w:val="both"/>
        <w:rPr>
          <w:rFonts w:ascii="Times New Roman" w:eastAsia="Calibri" w:hAnsi="Times New Roman" w:cs="Times New Roman"/>
          <w:kern w:val="0"/>
          <w:sz w:val="28"/>
          <w:szCs w:val="28"/>
          <w:lang w:val="uk-UA" w:eastAsia="ru-RU" w:bidi="ar-SA"/>
        </w:rPr>
      </w:pPr>
      <w:r w:rsidRPr="00F86C3F">
        <w:rPr>
          <w:rFonts w:ascii="Times New Roman" w:eastAsia="Times New Roman" w:hAnsi="Times New Roman"/>
          <w:b/>
          <w:sz w:val="26"/>
          <w:szCs w:val="26"/>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F86C3F">
        <w:rPr>
          <w:rFonts w:ascii="Times New Roman" w:eastAsia="Times New Roman" w:hAnsi="Times New Roman"/>
          <w:b/>
          <w:sz w:val="26"/>
          <w:szCs w:val="26"/>
        </w:rPr>
        <w:t> </w:t>
      </w:r>
      <w:r w:rsidRPr="00F86C3F">
        <w:rPr>
          <w:rFonts w:ascii="Times New Roman" w:eastAsia="Times New Roman" w:hAnsi="Times New Roman"/>
          <w:b/>
          <w:sz w:val="26"/>
          <w:szCs w:val="26"/>
          <w:lang w:val="uk-UA"/>
        </w:rPr>
        <w:t xml:space="preserve"> </w:t>
      </w:r>
      <w:r w:rsidR="00F86C3F" w:rsidRPr="00A947C1">
        <w:rPr>
          <w:rFonts w:ascii="Times New Roman" w:eastAsia="Calibri" w:hAnsi="Times New Roman" w:cs="Times New Roman"/>
          <w:sz w:val="28"/>
          <w:szCs w:val="28"/>
          <w:lang w:val="uk-UA" w:eastAsia="ru-RU"/>
        </w:rPr>
        <w:t>«Послуги із забезпечення перетікань реактивної електроенергії (за адресою вул. Дегтярівська,11 г) за кодом ДК 021:2015 65310000-9 Розподіл електричної енергії (Послуги із забезпечення перетікань реактивної електроенергії (за адресою вул. Дегтярівська,11 г): ДК 021:2015 65310000-9 Розподіл електричної енергії).</w:t>
      </w:r>
    </w:p>
    <w:p w14:paraId="2236A552" w14:textId="77777777" w:rsidR="00F86C3F" w:rsidRDefault="00F86C3F" w:rsidP="00F86C3F">
      <w:pPr>
        <w:pBdr>
          <w:top w:val="nil"/>
          <w:left w:val="nil"/>
          <w:bottom w:val="nil"/>
          <w:right w:val="nil"/>
          <w:between w:val="nil"/>
        </w:pBdr>
        <w:spacing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ab/>
      </w:r>
    </w:p>
    <w:p w14:paraId="00000007" w14:textId="59DD2F26" w:rsidR="00AA460C" w:rsidRPr="00F86C3F" w:rsidRDefault="006D181D" w:rsidP="00F86C3F">
      <w:pPr>
        <w:pBdr>
          <w:top w:val="nil"/>
          <w:left w:val="nil"/>
          <w:bottom w:val="nil"/>
          <w:right w:val="nil"/>
          <w:between w:val="nil"/>
        </w:pBdr>
        <w:spacing w:line="240" w:lineRule="auto"/>
        <w:jc w:val="both"/>
        <w:rPr>
          <w:rFonts w:ascii="Times New Roman" w:eastAsia="Times New Roman" w:hAnsi="Times New Roman"/>
          <w:sz w:val="26"/>
          <w:szCs w:val="26"/>
        </w:rPr>
      </w:pPr>
      <w:r w:rsidRPr="00F86C3F">
        <w:rPr>
          <w:rFonts w:ascii="Times New Roman" w:eastAsia="Times New Roman" w:hAnsi="Times New Roman"/>
          <w:b/>
          <w:sz w:val="26"/>
          <w:szCs w:val="26"/>
        </w:rPr>
        <w:t xml:space="preserve">Вид та ідентифікатор процедури закупівлі: </w:t>
      </w:r>
      <w:r w:rsidR="00F86C3F" w:rsidRPr="00F86C3F">
        <w:rPr>
          <w:rFonts w:ascii="Times New Roman" w:eastAsia="Times New Roman" w:hAnsi="Times New Roman"/>
          <w:sz w:val="26"/>
          <w:szCs w:val="26"/>
        </w:rPr>
        <w:t>закупівля</w:t>
      </w:r>
      <w:r w:rsidR="00F86C3F">
        <w:rPr>
          <w:rFonts w:ascii="Times New Roman" w:eastAsia="Times New Roman" w:hAnsi="Times New Roman"/>
          <w:b/>
          <w:sz w:val="26"/>
          <w:szCs w:val="26"/>
        </w:rPr>
        <w:t xml:space="preserve"> </w:t>
      </w:r>
      <w:r w:rsidR="00F86C3F" w:rsidRPr="00D9764A">
        <w:rPr>
          <w:rFonts w:ascii="Times New Roman" w:hAnsi="Times New Roman"/>
          <w:color w:val="000000"/>
          <w:sz w:val="28"/>
          <w:szCs w:val="28"/>
          <w:lang w:eastAsia="ru-RU"/>
        </w:rPr>
        <w:t>без використання електронної системи закупівель</w:t>
      </w:r>
      <w:r w:rsidR="00F86C3F">
        <w:rPr>
          <w:rFonts w:ascii="Times New Roman" w:hAnsi="Times New Roman"/>
          <w:color w:val="000000"/>
          <w:sz w:val="28"/>
          <w:szCs w:val="28"/>
          <w:lang w:eastAsia="ru-RU"/>
        </w:rPr>
        <w:t xml:space="preserve"> </w:t>
      </w:r>
      <w:r w:rsidR="00F86C3F" w:rsidRPr="00F86C3F">
        <w:rPr>
          <w:rFonts w:ascii="Times New Roman" w:hAnsi="Times New Roman"/>
          <w:i/>
          <w:color w:val="000000"/>
          <w:sz w:val="28"/>
          <w:szCs w:val="28"/>
          <w:lang w:eastAsia="ru-RU"/>
        </w:rPr>
        <w:t>(</w:t>
      </w:r>
      <w:r w:rsidR="00F86C3F" w:rsidRPr="00F86C3F">
        <w:rPr>
          <w:rFonts w:ascii="Times New Roman" w:hAnsi="Times New Roman"/>
          <w:i/>
          <w:sz w:val="28"/>
          <w:szCs w:val="28"/>
          <w:lang w:eastAsia="ru-RU"/>
        </w:rPr>
        <w:t>відповідно до абзацу 4 підпункту 5 пункту 13 Особливостей)</w:t>
      </w:r>
      <w:r w:rsidR="00F86C3F">
        <w:rPr>
          <w:rFonts w:ascii="Times New Roman" w:hAnsi="Times New Roman"/>
          <w:sz w:val="28"/>
          <w:szCs w:val="28"/>
          <w:lang w:eastAsia="ru-RU"/>
        </w:rPr>
        <w:t xml:space="preserve">, </w:t>
      </w:r>
      <w:r w:rsidR="003B5B0B" w:rsidRPr="003B5B0B">
        <w:rPr>
          <w:rFonts w:ascii="Times New Roman" w:hAnsi="Times New Roman"/>
          <w:sz w:val="28"/>
          <w:szCs w:val="28"/>
          <w:lang w:eastAsia="ru-RU"/>
        </w:rPr>
        <w:t>UA-2023-03-29-005936-a</w:t>
      </w:r>
      <w:r w:rsidR="003B5B0B">
        <w:rPr>
          <w:rFonts w:ascii="Times New Roman" w:hAnsi="Times New Roman"/>
          <w:sz w:val="28"/>
          <w:szCs w:val="28"/>
          <w:lang w:eastAsia="ru-RU"/>
        </w:rPr>
        <w:t>.</w:t>
      </w:r>
      <w:bookmarkStart w:id="0" w:name="_GoBack"/>
      <w:bookmarkEnd w:id="0"/>
    </w:p>
    <w:p w14:paraId="00000008" w14:textId="7CF40F4D" w:rsidR="00AA460C" w:rsidRPr="00F86C3F" w:rsidRDefault="006D181D">
      <w:pPr>
        <w:spacing w:before="280" w:after="280" w:line="240" w:lineRule="auto"/>
        <w:jc w:val="both"/>
        <w:rPr>
          <w:rFonts w:ascii="Times New Roman" w:eastAsia="Times New Roman" w:hAnsi="Times New Roman"/>
          <w:sz w:val="26"/>
          <w:szCs w:val="26"/>
        </w:rPr>
      </w:pPr>
      <w:r w:rsidRPr="00F86C3F">
        <w:rPr>
          <w:rFonts w:ascii="Times New Roman" w:eastAsia="Times New Roman" w:hAnsi="Times New Roman"/>
          <w:b/>
          <w:sz w:val="26"/>
          <w:szCs w:val="26"/>
        </w:rPr>
        <w:t>Очікувана вартість та обґрунтування очікуваної вартості предмета закупівлі:</w:t>
      </w:r>
      <w:r w:rsidRPr="00F86C3F">
        <w:rPr>
          <w:rFonts w:ascii="Times New Roman" w:eastAsia="Times New Roman" w:hAnsi="Times New Roman"/>
          <w:sz w:val="26"/>
          <w:szCs w:val="26"/>
        </w:rPr>
        <w:t xml:space="preserve"> </w:t>
      </w:r>
      <w:r w:rsidR="00F86C3F">
        <w:rPr>
          <w:rFonts w:ascii="Times New Roman" w:eastAsia="Times New Roman" w:hAnsi="Times New Roman"/>
          <w:sz w:val="26"/>
          <w:szCs w:val="26"/>
        </w:rPr>
        <w:t>6 249,19</w:t>
      </w:r>
      <w:r w:rsidRPr="00F86C3F">
        <w:rPr>
          <w:rFonts w:ascii="Times New Roman" w:eastAsia="Times New Roman" w:hAnsi="Times New Roman"/>
          <w:sz w:val="26"/>
          <w:szCs w:val="26"/>
        </w:rPr>
        <w:t xml:space="preserve"> грн. Визначення очікуваної вартості предмета закупівлі обумовлено статистичним аналізом отриманої послуги із компенсації перетікань реактивної електричної енергії  (</w:t>
      </w:r>
      <w:r w:rsidRPr="00F86C3F">
        <w:rPr>
          <w:rFonts w:ascii="Times New Roman" w:eastAsia="Times New Roman" w:hAnsi="Times New Roman"/>
          <w:sz w:val="26"/>
          <w:szCs w:val="26"/>
          <w:u w:val="single"/>
        </w:rPr>
        <w:t>річного</w:t>
      </w:r>
      <w:r w:rsidRPr="00F86C3F">
        <w:rPr>
          <w:rFonts w:ascii="Times New Roman" w:eastAsia="Times New Roman" w:hAnsi="Times New Roman"/>
          <w:sz w:val="26"/>
          <w:szCs w:val="26"/>
        </w:rPr>
        <w:t xml:space="preserve"> та місячного) за календарний </w:t>
      </w:r>
      <w:r w:rsidR="00F86C3F">
        <w:rPr>
          <w:rFonts w:ascii="Times New Roman" w:eastAsia="Times New Roman" w:hAnsi="Times New Roman"/>
          <w:sz w:val="26"/>
          <w:szCs w:val="26"/>
        </w:rPr>
        <w:t xml:space="preserve">2022 </w:t>
      </w:r>
      <w:r w:rsidRPr="00F86C3F">
        <w:rPr>
          <w:rFonts w:ascii="Times New Roman" w:eastAsia="Times New Roman" w:hAnsi="Times New Roman"/>
          <w:sz w:val="26"/>
          <w:szCs w:val="26"/>
        </w:rPr>
        <w:t>рік (бюджетний період)</w:t>
      </w:r>
      <w:r w:rsidR="00F86C3F">
        <w:rPr>
          <w:rFonts w:ascii="Times New Roman" w:eastAsia="Times New Roman" w:hAnsi="Times New Roman"/>
          <w:sz w:val="26"/>
          <w:szCs w:val="26"/>
        </w:rPr>
        <w:t>.</w:t>
      </w:r>
      <w:r w:rsidRPr="00F86C3F">
        <w:rPr>
          <w:rFonts w:ascii="Times New Roman" w:eastAsia="Times New Roman" w:hAnsi="Times New Roman"/>
          <w:sz w:val="26"/>
          <w:szCs w:val="26"/>
        </w:rPr>
        <w:t xml:space="preserve">  При цьому розрахунок очікуваної вартості проводився на підставі Методики обчислення плати за перетікання реактивної електроенергії, затвердженої наказом Міністерства енергетики та вугільної промисловості України від 06.02.2018 № 87, зареєстрованим у Міністерстві юстиції України 02.04.2018, який здійснюється оператором системи розподілу (ОСР) на дату визначення очікуваної вартості. </w:t>
      </w:r>
    </w:p>
    <w:p w14:paraId="00000009" w14:textId="2DA41184" w:rsidR="00AA460C" w:rsidRPr="00F86C3F" w:rsidRDefault="006D181D">
      <w:pPr>
        <w:spacing w:before="280" w:after="280" w:line="240" w:lineRule="auto"/>
        <w:jc w:val="both"/>
        <w:rPr>
          <w:rFonts w:ascii="Times New Roman" w:eastAsia="Times New Roman" w:hAnsi="Times New Roman"/>
          <w:b/>
          <w:i/>
          <w:color w:val="000000"/>
          <w:sz w:val="26"/>
          <w:szCs w:val="26"/>
        </w:rPr>
      </w:pPr>
      <w:r w:rsidRPr="00F86C3F">
        <w:rPr>
          <w:rFonts w:ascii="Times New Roman" w:eastAsia="Times New Roman" w:hAnsi="Times New Roman"/>
          <w:b/>
          <w:sz w:val="26"/>
          <w:szCs w:val="26"/>
        </w:rPr>
        <w:t>Розмір бюджетного призначення:</w:t>
      </w:r>
      <w:r w:rsidRPr="00F86C3F">
        <w:rPr>
          <w:rFonts w:ascii="Times New Roman" w:eastAsia="Times New Roman" w:hAnsi="Times New Roman"/>
          <w:sz w:val="26"/>
          <w:szCs w:val="26"/>
        </w:rPr>
        <w:t xml:space="preserve"> </w:t>
      </w:r>
      <w:r w:rsidR="00F86C3F">
        <w:rPr>
          <w:rFonts w:ascii="Times New Roman" w:eastAsia="Times New Roman" w:hAnsi="Times New Roman"/>
          <w:sz w:val="26"/>
          <w:szCs w:val="26"/>
        </w:rPr>
        <w:t>6 249,19</w:t>
      </w:r>
      <w:r w:rsidR="00F86C3F" w:rsidRPr="00F86C3F">
        <w:rPr>
          <w:rFonts w:ascii="Times New Roman" w:eastAsia="Times New Roman" w:hAnsi="Times New Roman"/>
          <w:sz w:val="26"/>
          <w:szCs w:val="26"/>
        </w:rPr>
        <w:t xml:space="preserve"> грн </w:t>
      </w:r>
      <w:r w:rsidRPr="00F86C3F">
        <w:rPr>
          <w:rFonts w:ascii="Times New Roman" w:eastAsia="Times New Roman" w:hAnsi="Times New Roman"/>
          <w:sz w:val="26"/>
          <w:szCs w:val="26"/>
        </w:rPr>
        <w:t>згідно з</w:t>
      </w:r>
      <w:r w:rsidR="00F86C3F" w:rsidRPr="00F86C3F">
        <w:t xml:space="preserve"> </w:t>
      </w:r>
      <w:r w:rsidR="00F86C3F" w:rsidRPr="00F86C3F">
        <w:rPr>
          <w:rFonts w:ascii="Times New Roman" w:eastAsia="Times New Roman" w:hAnsi="Times New Roman"/>
          <w:sz w:val="26"/>
          <w:szCs w:val="26"/>
        </w:rPr>
        <w:t>розрахунк</w:t>
      </w:r>
      <w:r w:rsidR="00F86C3F">
        <w:rPr>
          <w:rFonts w:ascii="Times New Roman" w:eastAsia="Times New Roman" w:hAnsi="Times New Roman"/>
          <w:sz w:val="26"/>
          <w:szCs w:val="26"/>
        </w:rPr>
        <w:t>ом</w:t>
      </w:r>
      <w:r w:rsidR="00F86C3F" w:rsidRPr="00F86C3F">
        <w:rPr>
          <w:rFonts w:ascii="Times New Roman" w:eastAsia="Times New Roman" w:hAnsi="Times New Roman"/>
          <w:sz w:val="26"/>
          <w:szCs w:val="26"/>
        </w:rPr>
        <w:t xml:space="preserve"> видатків до кошторису апарату Держмитслужби на 2023 рік (загальний фонд) за КПКВК 3506010 «Керівництво та управління у сфері митної політики».</w:t>
      </w:r>
    </w:p>
    <w:p w14:paraId="0000000A" w14:textId="77777777" w:rsidR="00AA460C" w:rsidRPr="00F86C3F" w:rsidRDefault="006D181D">
      <w:pPr>
        <w:spacing w:before="280" w:after="280" w:line="240" w:lineRule="auto"/>
        <w:jc w:val="both"/>
        <w:rPr>
          <w:rFonts w:ascii="Times New Roman" w:eastAsia="Times New Roman" w:hAnsi="Times New Roman"/>
          <w:sz w:val="26"/>
          <w:szCs w:val="26"/>
        </w:rPr>
      </w:pPr>
      <w:r w:rsidRPr="00F86C3F">
        <w:rPr>
          <w:rFonts w:ascii="Times New Roman" w:eastAsia="Times New Roman" w:hAnsi="Times New Roman"/>
          <w:b/>
          <w:sz w:val="26"/>
          <w:szCs w:val="26"/>
        </w:rPr>
        <w:t>Нормативно-правове регулювання.</w:t>
      </w:r>
      <w:r w:rsidRPr="00F86C3F">
        <w:rPr>
          <w:rFonts w:ascii="Times New Roman" w:eastAsia="Times New Roman" w:hAnsi="Times New Roman"/>
          <w:sz w:val="26"/>
          <w:szCs w:val="26"/>
        </w:rPr>
        <w:t xml:space="preserve"> Закупівля послуги із компенсації перетікань реактивної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НКРЕКП від 14.03.2018 № 312 (далі — ПРРЕЕ), Законом України «Про публічні закупівлі» від 25.12.2015 № 922-VIII (далі — Закон № 922), Кодексом системи розподілу, затвердженим постановою НКРЕКП від 14.03.2018 № 310 (далі — </w:t>
      </w:r>
      <w:r w:rsidRPr="00F86C3F">
        <w:rPr>
          <w:rFonts w:ascii="Times New Roman" w:eastAsia="Times New Roman" w:hAnsi="Times New Roman"/>
          <w:sz w:val="26"/>
          <w:szCs w:val="26"/>
        </w:rPr>
        <w:lastRenderedPageBreak/>
        <w:t xml:space="preserve">КСР), Методикою обчислення плати за перетікання реактивної електроенергії, затвердженою наказом Міністерства енергетики та вугільної промисловості України від 06.02.2018 № 87, зареєстрованим у Міністерстві юстиції України 02.04.2018 за № 392/31844 (далі — Методика), та іншими нормативно-правовими актами. </w:t>
      </w:r>
    </w:p>
    <w:p w14:paraId="0000000B" w14:textId="77777777"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b/>
          <w:sz w:val="26"/>
          <w:szCs w:val="26"/>
        </w:rPr>
        <w:t>Загальні положення.</w:t>
      </w:r>
      <w:r w:rsidRPr="00F86C3F">
        <w:rPr>
          <w:rFonts w:ascii="Times New Roman" w:eastAsia="Times New Roman" w:hAnsi="Times New Roman"/>
          <w:sz w:val="26"/>
          <w:szCs w:val="26"/>
        </w:rPr>
        <w:t xml:space="preserve"> Згідно з абзацом 20 пункту 1.1.2 глави 1.1 розділу І ПРРЕЕ електрична енергія (реактивна) — технологічно шкідлива циркуляція електричної енергії між джерелами електропостачання та приймачами змінного електричного струму, викликана електромагнітною незбалансованістю електроустановок. Величина потужності такої енергії, яку прийнято називати реактивною, визначається добутком прикладеної напруги та частки струму, яка створює електромагнітне поле. Реактивна електрична енергія, на відміну від активної, не є товарною продукцією, яку закуповує споживач (замовник), та не може бути предметом купівлі-продажу чи іншої господарської операції.</w:t>
      </w:r>
    </w:p>
    <w:p w14:paraId="0000000C" w14:textId="77777777" w:rsidR="00AA460C" w:rsidRPr="00F86C3F" w:rsidRDefault="00AA460C">
      <w:pPr>
        <w:spacing w:after="0" w:line="240" w:lineRule="auto"/>
        <w:jc w:val="both"/>
        <w:rPr>
          <w:rFonts w:ascii="Times New Roman" w:eastAsia="Times New Roman" w:hAnsi="Times New Roman"/>
          <w:sz w:val="26"/>
          <w:szCs w:val="26"/>
        </w:rPr>
      </w:pPr>
    </w:p>
    <w:p w14:paraId="0000000D" w14:textId="77777777"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 xml:space="preserve">Згідно з положеннями пункту 1 розділу ІІІ Методики визначено, що розрахунки за перетікання реактивної електроенергії здійснюють за об’єктами споживачів електроенергії з дозволеною потужністю 16 кВт і більше. </w:t>
      </w:r>
    </w:p>
    <w:p w14:paraId="0000000E" w14:textId="77777777" w:rsidR="00AA460C" w:rsidRPr="00F86C3F" w:rsidRDefault="00AA460C">
      <w:pPr>
        <w:spacing w:after="0" w:line="240" w:lineRule="auto"/>
        <w:jc w:val="both"/>
        <w:rPr>
          <w:rFonts w:ascii="Times New Roman" w:eastAsia="Times New Roman" w:hAnsi="Times New Roman"/>
          <w:sz w:val="26"/>
          <w:szCs w:val="26"/>
        </w:rPr>
      </w:pPr>
    </w:p>
    <w:p w14:paraId="0000000F" w14:textId="77777777"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 xml:space="preserve">Вимогами підпункту 3 пункту 5.5.13 ПРРЕЕ покладені додаткові обов’язки на непобутових споживачів здійснювати компенсацію перетікань реактивної електричної енергії для енергозбереження та дотримання показників якості електричної енергії. Аналогічні обов’язки щодо компенсації перетікання реактивної електричної енергії непобутовим споживачем випливає зі змісту пункту 8.5.9 КСР. Споживачі, крім населення та прирівняних до нього категорій, мають забезпечити в точці приєднання до мереж оператора системи розподілу (ОСР) нульовий перетік реактивної потужності. В іншому випадку споживачі (крім населення) здійснюють плату за компенсацію перетікання реактивної електричної енергії. </w:t>
      </w:r>
    </w:p>
    <w:p w14:paraId="00000010" w14:textId="77777777" w:rsidR="00AA460C" w:rsidRPr="00F86C3F" w:rsidRDefault="00AA460C">
      <w:pPr>
        <w:spacing w:after="0" w:line="240" w:lineRule="auto"/>
        <w:jc w:val="both"/>
        <w:rPr>
          <w:rFonts w:ascii="Times New Roman" w:eastAsia="Times New Roman" w:hAnsi="Times New Roman"/>
          <w:sz w:val="26"/>
          <w:szCs w:val="26"/>
        </w:rPr>
      </w:pPr>
    </w:p>
    <w:p w14:paraId="00000011" w14:textId="77777777"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Також введення та дотримання режимів компенсації реактивної потужності є одним із завдань оперативного управління електроустановками як невід’ємної складової експлуатації електричних установок згідно з вимогами пункту 2.7 підрозділу V Правил технічної експлуатації електроустановок споживачів, затверджених наказом Міністерства палива та енергетики України від 25.07.2006 № 258. Пунктом 4.33 ПРРЕЕ регламентується, що с</w:t>
      </w:r>
      <w:hyperlink r:id="rId5">
        <w:r w:rsidRPr="00F86C3F">
          <w:rPr>
            <w:rFonts w:ascii="Times New Roman" w:eastAsia="Times New Roman" w:hAnsi="Times New Roman"/>
            <w:sz w:val="26"/>
            <w:szCs w:val="26"/>
          </w:rPr>
          <w:t>поживачі, які відповідно до методики, затвердженої центральним органом виконавчої влади, що забезпечує формування та реалізацію державної політики в електроенергетичному комплексі, зобов'язані здійснювати розрахунки за перетікання реактивної електричної енергії, вносять плату за перетікання реактивної електричної енергії на поточний рахунок оператора системи, на території здійснення ліцензованої діяльності якого приєднані електроустановки споживачів, відповідно до умов договору про надання послуг із забезпечення перетікань реактивної електричної енергії, який може бути додатком до договору споживача про розподіл (передачу) електричної енергії.</w:t>
        </w:r>
      </w:hyperlink>
    </w:p>
    <w:p w14:paraId="00000012" w14:textId="77777777" w:rsidR="00AA460C" w:rsidRPr="00F86C3F" w:rsidRDefault="00AA460C">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p>
    <w:p w14:paraId="00000013" w14:textId="77777777" w:rsidR="00AA460C" w:rsidRPr="00F86C3F" w:rsidRDefault="006D181D">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sidRPr="00F86C3F">
        <w:rPr>
          <w:rFonts w:ascii="Times New Roman" w:eastAsia="Times New Roman" w:hAnsi="Times New Roman"/>
          <w:color w:val="000000"/>
          <w:sz w:val="26"/>
          <w:szCs w:val="26"/>
        </w:rPr>
        <w:t>Згідно з Ліцензійними умовами провадження господарської діяльності з розподілу електричної енергії (постанова НКРЕКП від 27.12.2017 № 1470) місце провадження господарської діяльності — територія (або частина території) адміністративно-територіальної одиниці, де розташована система розподілу електричної енергії, що перебуває у власності ліцензіата та до яких приєднані електричні мережі споживачів, які живляться від мереж ліцензіата.</w:t>
      </w:r>
    </w:p>
    <w:p w14:paraId="00000014" w14:textId="77777777" w:rsidR="00AA460C" w:rsidRPr="00F86C3F" w:rsidRDefault="00AA460C">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p>
    <w:p w14:paraId="00000015" w14:textId="611987BF" w:rsidR="00AA460C" w:rsidRPr="00F86C3F" w:rsidRDefault="00F86C3F">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sidRPr="00BE21E2">
        <w:rPr>
          <w:rFonts w:ascii="Times New Roman" w:hAnsi="Times New Roman"/>
          <w:sz w:val="28"/>
          <w:szCs w:val="28"/>
          <w:lang w:eastAsia="ru-RU"/>
        </w:rPr>
        <w:t>Постановою НКРЕКП №</w:t>
      </w:r>
      <w:r>
        <w:rPr>
          <w:rFonts w:ascii="Times New Roman" w:hAnsi="Times New Roman"/>
          <w:sz w:val="28"/>
          <w:szCs w:val="28"/>
          <w:lang w:eastAsia="ru-RU"/>
        </w:rPr>
        <w:t xml:space="preserve"> 1411</w:t>
      </w:r>
      <w:r w:rsidRPr="00BE21E2">
        <w:rPr>
          <w:rFonts w:ascii="Times New Roman" w:hAnsi="Times New Roman"/>
          <w:sz w:val="28"/>
          <w:szCs w:val="28"/>
          <w:lang w:eastAsia="ru-RU"/>
        </w:rPr>
        <w:t xml:space="preserve"> від 13.11.2018 </w:t>
      </w:r>
      <w:r>
        <w:rPr>
          <w:rFonts w:ascii="Times New Roman" w:hAnsi="Times New Roman"/>
          <w:sz w:val="28"/>
          <w:szCs w:val="28"/>
          <w:lang w:eastAsia="ru-RU"/>
        </w:rPr>
        <w:t xml:space="preserve">року </w:t>
      </w:r>
      <w:r w:rsidRPr="00BE21E2">
        <w:rPr>
          <w:rFonts w:ascii="Times New Roman" w:hAnsi="Times New Roman"/>
          <w:sz w:val="28"/>
          <w:szCs w:val="28"/>
          <w:lang w:eastAsia="ru-RU"/>
        </w:rPr>
        <w:t xml:space="preserve">ПрАТ </w:t>
      </w:r>
      <w:r w:rsidR="008D6CC6">
        <w:rPr>
          <w:rFonts w:ascii="Times New Roman" w:hAnsi="Times New Roman"/>
          <w:sz w:val="28"/>
          <w:szCs w:val="28"/>
          <w:lang w:eastAsia="ru-RU"/>
        </w:rPr>
        <w:t>«</w:t>
      </w:r>
      <w:r w:rsidRPr="00297F60">
        <w:rPr>
          <w:rFonts w:ascii="Times New Roman" w:hAnsi="Times New Roman"/>
          <w:sz w:val="28"/>
          <w:szCs w:val="28"/>
          <w:lang w:eastAsia="ru-RU"/>
        </w:rPr>
        <w:t>ДТЕК КИЇВСЬКІ ЕЛЕКТРОМЕРЕЖІ</w:t>
      </w:r>
      <w:r w:rsidR="008D6CC6">
        <w:rPr>
          <w:rFonts w:ascii="Times New Roman" w:hAnsi="Times New Roman"/>
          <w:sz w:val="28"/>
          <w:szCs w:val="28"/>
          <w:lang w:eastAsia="ru-RU"/>
        </w:rPr>
        <w:t>»</w:t>
      </w:r>
      <w:r w:rsidRPr="00297F60">
        <w:rPr>
          <w:rFonts w:ascii="Times New Roman" w:hAnsi="Times New Roman"/>
          <w:sz w:val="28"/>
          <w:szCs w:val="28"/>
          <w:lang w:eastAsia="ru-RU"/>
        </w:rPr>
        <w:t xml:space="preserve"> (код ЄДРПОУ 41946011) </w:t>
      </w:r>
      <w:r w:rsidR="006D181D" w:rsidRPr="00F86C3F">
        <w:rPr>
          <w:rFonts w:ascii="Times New Roman" w:eastAsia="Times New Roman" w:hAnsi="Times New Roman"/>
          <w:color w:val="000000"/>
          <w:sz w:val="26"/>
          <w:szCs w:val="26"/>
        </w:rPr>
        <w:t xml:space="preserve">видано ліцензію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w:t>
      </w:r>
      <w:r w:rsidR="008D6CC6">
        <w:rPr>
          <w:rFonts w:ascii="Times New Roman" w:hAnsi="Times New Roman"/>
          <w:sz w:val="28"/>
          <w:szCs w:val="28"/>
          <w:lang w:eastAsia="ru-RU"/>
        </w:rPr>
        <w:t>м. Києва</w:t>
      </w:r>
      <w:r w:rsidR="008D6CC6" w:rsidRPr="00BE21E2">
        <w:rPr>
          <w:rFonts w:ascii="Times New Roman" w:hAnsi="Times New Roman"/>
          <w:sz w:val="28"/>
          <w:szCs w:val="28"/>
          <w:lang w:eastAsia="ru-RU"/>
        </w:rPr>
        <w:t xml:space="preserve"> </w:t>
      </w:r>
      <w:r w:rsidR="006D181D" w:rsidRPr="00F86C3F">
        <w:rPr>
          <w:rFonts w:ascii="Times New Roman" w:eastAsia="Times New Roman" w:hAnsi="Times New Roman"/>
          <w:color w:val="000000"/>
          <w:sz w:val="26"/>
          <w:szCs w:val="26"/>
        </w:rPr>
        <w:t xml:space="preserve">в межах розташування системи розподілу електричної енергії, що перебуває у власності або господарському віданні (щодо державного або комунального майна) </w:t>
      </w:r>
      <w:r w:rsidR="008D6CC6" w:rsidRPr="00BE21E2">
        <w:rPr>
          <w:rFonts w:ascii="Times New Roman" w:hAnsi="Times New Roman"/>
          <w:sz w:val="28"/>
          <w:szCs w:val="28"/>
          <w:lang w:eastAsia="ru-RU"/>
        </w:rPr>
        <w:t xml:space="preserve">ПрАТ </w:t>
      </w:r>
      <w:r w:rsidR="008D6CC6">
        <w:rPr>
          <w:rFonts w:ascii="Times New Roman" w:hAnsi="Times New Roman"/>
          <w:sz w:val="28"/>
          <w:szCs w:val="28"/>
          <w:lang w:eastAsia="ru-RU"/>
        </w:rPr>
        <w:t>«</w:t>
      </w:r>
      <w:r w:rsidR="008D6CC6" w:rsidRPr="00297F60">
        <w:rPr>
          <w:rFonts w:ascii="Times New Roman" w:hAnsi="Times New Roman"/>
          <w:sz w:val="28"/>
          <w:szCs w:val="28"/>
          <w:lang w:eastAsia="ru-RU"/>
        </w:rPr>
        <w:t>ДТЕК КИЇВСЬКІ ЕЛЕКТРОМЕРЕЖІ</w:t>
      </w:r>
      <w:r w:rsidR="008D6CC6">
        <w:rPr>
          <w:rFonts w:ascii="Times New Roman" w:hAnsi="Times New Roman"/>
          <w:sz w:val="28"/>
          <w:szCs w:val="28"/>
          <w:lang w:eastAsia="ru-RU"/>
        </w:rPr>
        <w:t>»</w:t>
      </w:r>
      <w:r w:rsidR="006D181D" w:rsidRPr="00F86C3F">
        <w:rPr>
          <w:rFonts w:ascii="Times New Roman" w:eastAsia="Times New Roman" w:hAnsi="Times New Roman"/>
          <w:color w:val="000000"/>
          <w:sz w:val="26"/>
          <w:szCs w:val="26"/>
        </w:rPr>
        <w:t>, та електричних мереж інших власників, які приєднані до мереж ліцензіата (з якими укладені відповідні договори згідно з законодавством).</w:t>
      </w:r>
    </w:p>
    <w:p w14:paraId="00000016" w14:textId="77777777" w:rsidR="00AA460C" w:rsidRPr="00F86C3F" w:rsidRDefault="00AA460C">
      <w:pPr>
        <w:spacing w:after="0" w:line="240" w:lineRule="auto"/>
        <w:jc w:val="both"/>
        <w:rPr>
          <w:rFonts w:ascii="Times New Roman" w:eastAsia="Times New Roman" w:hAnsi="Times New Roman"/>
          <w:sz w:val="26"/>
          <w:szCs w:val="26"/>
        </w:rPr>
      </w:pPr>
    </w:p>
    <w:p w14:paraId="00000017" w14:textId="73B73365"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 xml:space="preserve">Із вищевикладеного випливає, що враховуючи визначення, наведені в Законі та пункті 1.1.2 ПРРЕЕ, </w:t>
      </w:r>
      <w:r w:rsidR="008D6CC6" w:rsidRPr="008D6CC6">
        <w:rPr>
          <w:rFonts w:ascii="Times New Roman" w:eastAsia="Times New Roman" w:hAnsi="Times New Roman"/>
          <w:sz w:val="26"/>
          <w:szCs w:val="26"/>
        </w:rPr>
        <w:t>Державна митна служба України</w:t>
      </w:r>
      <w:r w:rsidR="008D6CC6">
        <w:rPr>
          <w:rFonts w:ascii="Times New Roman" w:eastAsia="Times New Roman" w:hAnsi="Times New Roman"/>
          <w:sz w:val="26"/>
          <w:szCs w:val="26"/>
        </w:rPr>
        <w:t>, як замовник,</w:t>
      </w:r>
      <w:r w:rsidR="008D6CC6" w:rsidRPr="008D6CC6">
        <w:rPr>
          <w:rFonts w:ascii="Times New Roman" w:eastAsia="Times New Roman" w:hAnsi="Times New Roman"/>
          <w:sz w:val="26"/>
          <w:szCs w:val="26"/>
        </w:rPr>
        <w:t xml:space="preserve"> </w:t>
      </w:r>
      <w:r w:rsidRPr="00F86C3F">
        <w:rPr>
          <w:rFonts w:ascii="Times New Roman" w:eastAsia="Times New Roman" w:hAnsi="Times New Roman"/>
          <w:sz w:val="26"/>
          <w:szCs w:val="26"/>
        </w:rPr>
        <w:t>підпадає під визначення «непобутового споживача», за об’єктом договірна потужність перевищує 16 кВт, тому у замовника виникає обов’язок здійснювати плату за перетікання реактивної електроенергії шляхом проведення закупівлі п</w:t>
      </w:r>
      <w:r w:rsidRPr="00F86C3F">
        <w:rPr>
          <w:sz w:val="26"/>
          <w:szCs w:val="26"/>
        </w:rPr>
        <w:t>о</w:t>
      </w:r>
      <w:r w:rsidRPr="00F86C3F">
        <w:rPr>
          <w:rFonts w:ascii="Times New Roman" w:eastAsia="Times New Roman" w:hAnsi="Times New Roman"/>
          <w:sz w:val="26"/>
          <w:szCs w:val="26"/>
        </w:rPr>
        <w:t>слуги із забезпечення перетікань реактивної електричної енергії на підставі договору про закупівлю. Послуга із забезпечення перетікань реактивної електричної енергії може надаватися виключно оператором системи, на території здійснення ліцензованої діяльності якого приєднані електроустановки замовника, а саме</w:t>
      </w:r>
      <w:r w:rsidR="008D6CC6" w:rsidRPr="008D6CC6">
        <w:rPr>
          <w:rFonts w:ascii="Times New Roman" w:hAnsi="Times New Roman"/>
          <w:sz w:val="28"/>
          <w:szCs w:val="28"/>
          <w:lang w:eastAsia="ru-RU"/>
        </w:rPr>
        <w:t xml:space="preserve"> </w:t>
      </w:r>
      <w:r w:rsidR="008D6CC6" w:rsidRPr="00BE21E2">
        <w:rPr>
          <w:rFonts w:ascii="Times New Roman" w:hAnsi="Times New Roman"/>
          <w:sz w:val="28"/>
          <w:szCs w:val="28"/>
          <w:lang w:eastAsia="ru-RU"/>
        </w:rPr>
        <w:t xml:space="preserve">ПрАТ </w:t>
      </w:r>
      <w:r w:rsidR="008D6CC6">
        <w:rPr>
          <w:rFonts w:ascii="Times New Roman" w:hAnsi="Times New Roman"/>
          <w:sz w:val="28"/>
          <w:szCs w:val="28"/>
          <w:lang w:eastAsia="ru-RU"/>
        </w:rPr>
        <w:t>«</w:t>
      </w:r>
      <w:r w:rsidR="008D6CC6" w:rsidRPr="00297F60">
        <w:rPr>
          <w:rFonts w:ascii="Times New Roman" w:hAnsi="Times New Roman"/>
          <w:sz w:val="28"/>
          <w:szCs w:val="28"/>
          <w:lang w:eastAsia="ru-RU"/>
        </w:rPr>
        <w:t>ДТЕК КИЇВСЬКІ ЕЛЕКТРОМЕРЕЖІ</w:t>
      </w:r>
      <w:r w:rsidR="008D6CC6">
        <w:rPr>
          <w:rFonts w:ascii="Times New Roman" w:hAnsi="Times New Roman"/>
          <w:sz w:val="28"/>
          <w:szCs w:val="28"/>
          <w:lang w:eastAsia="ru-RU"/>
        </w:rPr>
        <w:t>».</w:t>
      </w:r>
    </w:p>
    <w:p w14:paraId="00000018" w14:textId="77777777" w:rsidR="00AA460C" w:rsidRPr="00F86C3F" w:rsidRDefault="00AA460C">
      <w:pPr>
        <w:spacing w:after="0" w:line="240" w:lineRule="auto"/>
        <w:jc w:val="both"/>
        <w:rPr>
          <w:rFonts w:ascii="Times New Roman" w:eastAsia="Times New Roman" w:hAnsi="Times New Roman"/>
          <w:sz w:val="26"/>
          <w:szCs w:val="26"/>
        </w:rPr>
      </w:pPr>
    </w:p>
    <w:p w14:paraId="00000019" w14:textId="272A0C7F" w:rsidR="00AA460C" w:rsidRPr="00F86C3F" w:rsidRDefault="006D181D">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sidRPr="00F86C3F">
        <w:rPr>
          <w:rFonts w:ascii="Times New Roman" w:eastAsia="Times New Roman" w:hAnsi="Times New Roman"/>
          <w:b/>
          <w:color w:val="000000"/>
          <w:sz w:val="26"/>
          <w:szCs w:val="26"/>
        </w:rPr>
        <w:t>Обґрунтування технічних характеристик предмета закупівлі:</w:t>
      </w:r>
      <w:r w:rsidRPr="00F86C3F">
        <w:rPr>
          <w:rFonts w:ascii="Times New Roman" w:eastAsia="Times New Roman" w:hAnsi="Times New Roman"/>
          <w:i/>
          <w:color w:val="000000"/>
          <w:sz w:val="26"/>
          <w:szCs w:val="26"/>
        </w:rPr>
        <w:t xml:space="preserve"> </w:t>
      </w:r>
      <w:r w:rsidRPr="00F86C3F">
        <w:rPr>
          <w:rFonts w:ascii="Times New Roman" w:eastAsia="Times New Roman" w:hAnsi="Times New Roman"/>
          <w:color w:val="000000"/>
          <w:sz w:val="26"/>
          <w:szCs w:val="26"/>
        </w:rPr>
        <w:t xml:space="preserve">Термін постачання — з </w:t>
      </w:r>
      <w:r w:rsidR="008D6CC6">
        <w:rPr>
          <w:rFonts w:ascii="Times New Roman" w:eastAsia="Times New Roman" w:hAnsi="Times New Roman"/>
          <w:color w:val="000000"/>
          <w:sz w:val="26"/>
          <w:szCs w:val="26"/>
        </w:rPr>
        <w:t xml:space="preserve">01 січня </w:t>
      </w:r>
      <w:r w:rsidRPr="00F86C3F">
        <w:rPr>
          <w:rFonts w:ascii="Times New Roman" w:eastAsia="Times New Roman" w:hAnsi="Times New Roman"/>
          <w:color w:val="000000"/>
          <w:sz w:val="26"/>
          <w:szCs w:val="26"/>
        </w:rPr>
        <w:t>202</w:t>
      </w:r>
      <w:r w:rsidR="008D6CC6">
        <w:rPr>
          <w:rFonts w:ascii="Times New Roman" w:eastAsia="Times New Roman" w:hAnsi="Times New Roman"/>
          <w:color w:val="000000"/>
          <w:sz w:val="26"/>
          <w:szCs w:val="26"/>
        </w:rPr>
        <w:t xml:space="preserve">3 </w:t>
      </w:r>
      <w:r w:rsidRPr="00F86C3F">
        <w:rPr>
          <w:rFonts w:ascii="Times New Roman" w:eastAsia="Times New Roman" w:hAnsi="Times New Roman"/>
          <w:color w:val="000000"/>
          <w:sz w:val="26"/>
          <w:szCs w:val="26"/>
        </w:rPr>
        <w:t xml:space="preserve">р. по </w:t>
      </w:r>
      <w:r w:rsidR="008D6CC6">
        <w:rPr>
          <w:rFonts w:ascii="Times New Roman" w:eastAsia="Times New Roman" w:hAnsi="Times New Roman"/>
          <w:color w:val="000000"/>
          <w:sz w:val="26"/>
          <w:szCs w:val="26"/>
        </w:rPr>
        <w:t xml:space="preserve">31 грудня </w:t>
      </w:r>
      <w:r w:rsidRPr="00F86C3F">
        <w:rPr>
          <w:rFonts w:ascii="Times New Roman" w:eastAsia="Times New Roman" w:hAnsi="Times New Roman"/>
          <w:color w:val="000000"/>
          <w:sz w:val="26"/>
          <w:szCs w:val="26"/>
        </w:rPr>
        <w:t>202</w:t>
      </w:r>
      <w:r w:rsidR="008D6CC6">
        <w:rPr>
          <w:rFonts w:ascii="Times New Roman" w:eastAsia="Times New Roman" w:hAnsi="Times New Roman"/>
          <w:color w:val="000000"/>
          <w:sz w:val="26"/>
          <w:szCs w:val="26"/>
        </w:rPr>
        <w:t xml:space="preserve">3 </w:t>
      </w:r>
      <w:r w:rsidRPr="00F86C3F">
        <w:rPr>
          <w:rFonts w:ascii="Times New Roman" w:eastAsia="Times New Roman" w:hAnsi="Times New Roman"/>
          <w:color w:val="000000"/>
          <w:sz w:val="26"/>
          <w:szCs w:val="26"/>
        </w:rPr>
        <w:t>р.</w:t>
      </w:r>
    </w:p>
    <w:p w14:paraId="0000001A" w14:textId="77777777" w:rsidR="00AA460C" w:rsidRPr="00F86C3F" w:rsidRDefault="00AA460C">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p>
    <w:p w14:paraId="0000001B" w14:textId="77777777" w:rsidR="00AA460C" w:rsidRPr="00F86C3F" w:rsidRDefault="006D181D">
      <w:pPr>
        <w:pBdr>
          <w:top w:val="nil"/>
          <w:left w:val="nil"/>
          <w:bottom w:val="nil"/>
          <w:right w:val="nil"/>
          <w:between w:val="nil"/>
        </w:pBdr>
        <w:spacing w:after="0" w:line="240" w:lineRule="auto"/>
        <w:jc w:val="both"/>
        <w:rPr>
          <w:rFonts w:ascii="Times New Roman" w:eastAsia="Times New Roman" w:hAnsi="Times New Roman"/>
          <w:i/>
          <w:color w:val="000000"/>
          <w:sz w:val="26"/>
          <w:szCs w:val="26"/>
        </w:rPr>
      </w:pPr>
      <w:r w:rsidRPr="00F86C3F">
        <w:rPr>
          <w:rFonts w:ascii="Times New Roman" w:eastAsia="Times New Roman" w:hAnsi="Times New Roman"/>
          <w:color w:val="000000"/>
          <w:sz w:val="26"/>
          <w:szCs w:val="26"/>
        </w:rPr>
        <w:t xml:space="preserve">Кількісною характеристикою предмета закупівлі є обсяг, за одиницю виміру послуги приймається </w:t>
      </w:r>
      <w:proofErr w:type="spellStart"/>
      <w:r w:rsidRPr="00F86C3F">
        <w:rPr>
          <w:rFonts w:ascii="Times New Roman" w:eastAsia="Times New Roman" w:hAnsi="Times New Roman"/>
          <w:color w:val="000000"/>
          <w:sz w:val="26"/>
          <w:szCs w:val="26"/>
        </w:rPr>
        <w:t>кіловар</w:t>
      </w:r>
      <w:proofErr w:type="spellEnd"/>
      <w:r w:rsidRPr="00F86C3F">
        <w:rPr>
          <w:rFonts w:ascii="Times New Roman" w:eastAsia="Times New Roman" w:hAnsi="Times New Roman"/>
          <w:color w:val="000000"/>
          <w:sz w:val="26"/>
          <w:szCs w:val="26"/>
        </w:rPr>
        <w:t>-година (</w:t>
      </w:r>
      <w:proofErr w:type="spellStart"/>
      <w:r w:rsidRPr="00F86C3F">
        <w:rPr>
          <w:rFonts w:ascii="Times New Roman" w:eastAsia="Times New Roman" w:hAnsi="Times New Roman"/>
          <w:color w:val="000000"/>
          <w:sz w:val="26"/>
          <w:szCs w:val="26"/>
        </w:rPr>
        <w:t>кВАр</w:t>
      </w:r>
      <w:r w:rsidRPr="00F86C3F">
        <w:rPr>
          <w:rFonts w:ascii="Cambria Math" w:eastAsia="Cambria Math" w:hAnsi="Cambria Math" w:cs="Cambria Math"/>
          <w:color w:val="000000"/>
          <w:sz w:val="26"/>
          <w:szCs w:val="26"/>
        </w:rPr>
        <w:t>⋅</w:t>
      </w:r>
      <w:r w:rsidRPr="00F86C3F">
        <w:rPr>
          <w:rFonts w:ascii="Times New Roman" w:eastAsia="Times New Roman" w:hAnsi="Times New Roman"/>
          <w:color w:val="000000"/>
          <w:sz w:val="26"/>
          <w:szCs w:val="26"/>
        </w:rPr>
        <w:t>год</w:t>
      </w:r>
      <w:proofErr w:type="spellEnd"/>
      <w:r w:rsidRPr="00F86C3F">
        <w:rPr>
          <w:rFonts w:ascii="Times New Roman" w:eastAsia="Times New Roman" w:hAnsi="Times New Roman"/>
          <w:color w:val="000000"/>
          <w:sz w:val="26"/>
          <w:szCs w:val="26"/>
        </w:rPr>
        <w:t>).</w:t>
      </w:r>
    </w:p>
    <w:p w14:paraId="0000001C" w14:textId="77777777" w:rsidR="00AA460C" w:rsidRPr="00F86C3F" w:rsidRDefault="00AA460C">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p>
    <w:p w14:paraId="0000001D" w14:textId="69FD9506" w:rsidR="00AA460C" w:rsidRPr="00F86C3F" w:rsidRDefault="006D181D">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sidRPr="00F86C3F">
        <w:rPr>
          <w:rFonts w:ascii="Times New Roman" w:eastAsia="Times New Roman" w:hAnsi="Times New Roman"/>
          <w:color w:val="000000"/>
          <w:sz w:val="26"/>
          <w:szCs w:val="26"/>
        </w:rPr>
        <w:t>Очікуваний обсяг закупівлі на 202</w:t>
      </w:r>
      <w:r w:rsidR="008D6CC6">
        <w:rPr>
          <w:rFonts w:ascii="Times New Roman" w:eastAsia="Times New Roman" w:hAnsi="Times New Roman"/>
          <w:color w:val="000000"/>
          <w:sz w:val="26"/>
          <w:szCs w:val="26"/>
        </w:rPr>
        <w:t xml:space="preserve">3 </w:t>
      </w:r>
      <w:r w:rsidRPr="00F86C3F">
        <w:rPr>
          <w:rFonts w:ascii="Times New Roman" w:eastAsia="Times New Roman" w:hAnsi="Times New Roman"/>
          <w:color w:val="000000"/>
          <w:sz w:val="26"/>
          <w:szCs w:val="26"/>
        </w:rPr>
        <w:t xml:space="preserve">рік визначається з огляду на очікуваний обсяг послуги із забезпечення перетікань реактивної електричної енергії, розрахований згідно з Методикою обчислення плати за перетікання реактивної електроенергії, затвердженою наказом Міністерства енергетики та вугільної промисловості України від 06.02.2018  № 87. </w:t>
      </w:r>
    </w:p>
    <w:p w14:paraId="0000001E" w14:textId="77777777" w:rsidR="00AA460C" w:rsidRPr="00F86C3F" w:rsidRDefault="00AA460C">
      <w:pPr>
        <w:spacing w:after="0" w:line="240" w:lineRule="auto"/>
        <w:jc w:val="both"/>
        <w:rPr>
          <w:rFonts w:ascii="Times New Roman" w:eastAsia="Times New Roman" w:hAnsi="Times New Roman"/>
          <w:b/>
          <w:sz w:val="26"/>
          <w:szCs w:val="26"/>
        </w:rPr>
      </w:pPr>
    </w:p>
    <w:p w14:paraId="0000001F" w14:textId="77777777"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b/>
          <w:sz w:val="26"/>
          <w:szCs w:val="26"/>
        </w:rPr>
        <w:t xml:space="preserve">Обґрунтування якісних характеристик предмета закупівлі. </w:t>
      </w:r>
      <w:r w:rsidRPr="00F86C3F">
        <w:rPr>
          <w:rFonts w:ascii="Times New Roman" w:eastAsia="Times New Roman" w:hAnsi="Times New Roman"/>
          <w:sz w:val="26"/>
          <w:szCs w:val="26"/>
        </w:rPr>
        <w:t>Наявна</w:t>
      </w:r>
      <w:r w:rsidRPr="00F86C3F">
        <w:rPr>
          <w:rFonts w:ascii="Times New Roman" w:eastAsia="Times New Roman" w:hAnsi="Times New Roman"/>
          <w:b/>
          <w:sz w:val="26"/>
          <w:szCs w:val="26"/>
        </w:rPr>
        <w:t xml:space="preserve"> </w:t>
      </w:r>
      <w:r w:rsidRPr="00F86C3F">
        <w:rPr>
          <w:rFonts w:ascii="Times New Roman" w:eastAsia="Times New Roman" w:hAnsi="Times New Roman"/>
          <w:sz w:val="26"/>
          <w:szCs w:val="26"/>
        </w:rPr>
        <w:t xml:space="preserve">електроустановка замовника є електромагнітно незбалансованою, даною електроустановкою (як комплекс взаємопов’язаних устаткування і споруд) здійснюється споживання реактивної електроенергії із електричної мережі або, навпаки, генерує реактивну електроенергію, тобто спричиняє зустрічні перетікання реактивної електроенергії в електричну мережу, до якої приєднана електроустановка. І у випадку споживання, і у випадку генерації реактивної електроенергії електроустановкою відбувається перетікання реактивної електричної енергії на межі балансової належності електричних мереж. </w:t>
      </w:r>
    </w:p>
    <w:p w14:paraId="00000020" w14:textId="77777777" w:rsidR="00AA460C" w:rsidRPr="00F86C3F" w:rsidRDefault="00AA460C">
      <w:pPr>
        <w:spacing w:after="0" w:line="240" w:lineRule="auto"/>
        <w:jc w:val="both"/>
        <w:rPr>
          <w:rFonts w:ascii="Times New Roman" w:eastAsia="Times New Roman" w:hAnsi="Times New Roman"/>
          <w:sz w:val="26"/>
          <w:szCs w:val="26"/>
        </w:rPr>
      </w:pPr>
    </w:p>
    <w:p w14:paraId="00000021" w14:textId="77777777"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 xml:space="preserve">Абзац 42 пункту 1.1.2 глави 1.1 розділу І ПРРЕЕ визначає, що перетікання реактивної електричної енергії на межі балансової належності електричних мереж (перетікання реактивної електричної енергії) — складова фізичних процесів передачі, розподілу та споживання активної електричної енергії, яка спричиняє додаткові технологічні втрати активної електричної енергії та впливає на показники якості активної електричної енергії (рівні </w:t>
      </w:r>
      <w:proofErr w:type="spellStart"/>
      <w:r w:rsidRPr="00F86C3F">
        <w:rPr>
          <w:rFonts w:ascii="Times New Roman" w:eastAsia="Times New Roman" w:hAnsi="Times New Roman"/>
          <w:sz w:val="26"/>
          <w:szCs w:val="26"/>
        </w:rPr>
        <w:t>напруг</w:t>
      </w:r>
      <w:proofErr w:type="spellEnd"/>
      <w:r w:rsidRPr="00F86C3F">
        <w:rPr>
          <w:rFonts w:ascii="Times New Roman" w:eastAsia="Times New Roman" w:hAnsi="Times New Roman"/>
          <w:sz w:val="26"/>
          <w:szCs w:val="26"/>
        </w:rPr>
        <w:t xml:space="preserve">). Це — фізичний процес, який виникає на межі </w:t>
      </w:r>
      <w:r w:rsidRPr="00F86C3F">
        <w:rPr>
          <w:rFonts w:ascii="Times New Roman" w:eastAsia="Times New Roman" w:hAnsi="Times New Roman"/>
          <w:sz w:val="26"/>
          <w:szCs w:val="26"/>
        </w:rPr>
        <w:lastRenderedPageBreak/>
        <w:t>балансової належності через електромагнітну незбалансованість електроустановки споживача.</w:t>
      </w:r>
    </w:p>
    <w:p w14:paraId="00000022" w14:textId="77777777" w:rsidR="00AA460C" w:rsidRPr="00F86C3F" w:rsidRDefault="00AA460C">
      <w:pPr>
        <w:shd w:val="clear" w:color="auto" w:fill="FFFFFF"/>
        <w:spacing w:after="0" w:line="240" w:lineRule="auto"/>
        <w:jc w:val="both"/>
        <w:rPr>
          <w:rFonts w:ascii="Times New Roman" w:eastAsia="Times New Roman" w:hAnsi="Times New Roman"/>
          <w:sz w:val="26"/>
          <w:szCs w:val="26"/>
        </w:rPr>
      </w:pPr>
    </w:p>
    <w:p w14:paraId="00000023" w14:textId="77777777" w:rsidR="00AA460C" w:rsidRPr="00F86C3F" w:rsidRDefault="006D181D">
      <w:pPr>
        <w:shd w:val="clear" w:color="auto" w:fill="FFFFFF"/>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w:t>
      </w:r>
      <w:r w:rsidRPr="00F86C3F">
        <w:rPr>
          <w:sz w:val="26"/>
          <w:szCs w:val="26"/>
        </w:rPr>
        <w:t xml:space="preserve"> </w:t>
      </w:r>
      <w:r w:rsidRPr="00F86C3F">
        <w:rPr>
          <w:rFonts w:ascii="Times New Roman" w:eastAsia="Times New Roman" w:hAnsi="Times New Roman"/>
          <w:color w:val="000000"/>
          <w:sz w:val="26"/>
          <w:szCs w:val="26"/>
        </w:rPr>
        <w:t>Якість електричної енергії забезпечується ОСР під час надання послуги з розподілу електричної енергії, відповідно до положень пункту 11.4.6 глави 11.4 розділу XI КСР,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призначеності».</w:t>
      </w:r>
    </w:p>
    <w:p w14:paraId="00000024" w14:textId="77777777" w:rsidR="00AA460C" w:rsidRPr="00F86C3F" w:rsidRDefault="00AA460C">
      <w:pPr>
        <w:spacing w:after="0" w:line="240" w:lineRule="auto"/>
        <w:jc w:val="both"/>
        <w:rPr>
          <w:rFonts w:ascii="Times New Roman" w:eastAsia="Times New Roman" w:hAnsi="Times New Roman"/>
          <w:sz w:val="26"/>
          <w:szCs w:val="26"/>
        </w:rPr>
      </w:pPr>
    </w:p>
    <w:p w14:paraId="00000025" w14:textId="404AE404" w:rsidR="00AA460C" w:rsidRPr="00F86C3F" w:rsidRDefault="006D181D">
      <w:pPr>
        <w:spacing w:after="0" w:line="240" w:lineRule="auto"/>
        <w:jc w:val="both"/>
        <w:rPr>
          <w:rFonts w:ascii="Times New Roman" w:eastAsia="Times New Roman" w:hAnsi="Times New Roman"/>
          <w:sz w:val="26"/>
          <w:szCs w:val="26"/>
        </w:rPr>
      </w:pPr>
      <w:r w:rsidRPr="00F86C3F">
        <w:rPr>
          <w:rFonts w:ascii="Times New Roman" w:eastAsia="Times New Roman" w:hAnsi="Times New Roman"/>
          <w:sz w:val="26"/>
          <w:szCs w:val="26"/>
        </w:rPr>
        <w:t>Перетікання реактивної електричної енергії викликає погіршення якості напруги та збільшення втрат активної електроенергії, а також впливає на стійкість вузлів навантаження і зменшує пропускну здатність електричних мереж. Електроустановки замовника спричиняють значні перетікання реактивної електроенергії. Саме такі перетікання ведуть до додаткових технологічних втрат активної електричної енергії, негативно впливають на показники її якості, зумовлюючи необхідність відповідної компенсації.</w:t>
      </w:r>
    </w:p>
    <w:p w14:paraId="00000026" w14:textId="77777777" w:rsidR="00AA460C" w:rsidRPr="00F86C3F" w:rsidRDefault="00AA460C">
      <w:pPr>
        <w:rPr>
          <w:rFonts w:ascii="Times New Roman" w:eastAsia="Times New Roman" w:hAnsi="Times New Roman"/>
          <w:i/>
          <w:sz w:val="26"/>
          <w:szCs w:val="26"/>
        </w:rPr>
      </w:pPr>
    </w:p>
    <w:p w14:paraId="00000027" w14:textId="77777777" w:rsidR="00AA460C" w:rsidRPr="00F86C3F" w:rsidRDefault="00AA460C">
      <w:pPr>
        <w:spacing w:after="0" w:line="240" w:lineRule="auto"/>
        <w:jc w:val="both"/>
        <w:rPr>
          <w:rFonts w:ascii="Times New Roman" w:eastAsia="Times New Roman" w:hAnsi="Times New Roman"/>
          <w:sz w:val="26"/>
          <w:szCs w:val="26"/>
        </w:rPr>
      </w:pPr>
    </w:p>
    <w:sectPr w:rsidR="00AA460C" w:rsidRPr="00F86C3F">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0C"/>
    <w:rsid w:val="002F3714"/>
    <w:rsid w:val="003B5B0B"/>
    <w:rsid w:val="006D181D"/>
    <w:rsid w:val="008D6CC6"/>
    <w:rsid w:val="00AA460C"/>
    <w:rsid w:val="00F86C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5AE2"/>
  <w15:docId w15:val="{104089A5-20B8-4962-AF68-876E8817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48A"/>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22048A"/>
    <w:pPr>
      <w:spacing w:before="100" w:beforeAutospacing="1" w:after="100" w:afterAutospacing="1" w:line="240" w:lineRule="auto"/>
    </w:pPr>
    <w:rPr>
      <w:rFonts w:ascii="Times New Roman" w:eastAsia="Times New Roman" w:hAnsi="Times New Roman"/>
      <w:sz w:val="24"/>
      <w:szCs w:val="24"/>
    </w:rPr>
  </w:style>
  <w:style w:type="character" w:styleId="a4">
    <w:name w:val="Emphasis"/>
    <w:uiPriority w:val="20"/>
    <w:qFormat/>
    <w:rsid w:val="0022048A"/>
    <w:rPr>
      <w:i/>
      <w:iCs/>
    </w:rPr>
  </w:style>
  <w:style w:type="character" w:customStyle="1" w:styleId="rvts0">
    <w:name w:val="rvts0"/>
    <w:basedOn w:val="a0"/>
    <w:rsid w:val="0022048A"/>
  </w:style>
  <w:style w:type="paragraph" w:customStyle="1" w:styleId="a5">
    <w:basedOn w:val="a"/>
    <w:next w:val="a6"/>
    <w:uiPriority w:val="99"/>
    <w:unhideWhenUsed/>
    <w:rsid w:val="0022048A"/>
    <w:pPr>
      <w:spacing w:before="100" w:beforeAutospacing="1" w:after="100" w:afterAutospacing="1" w:line="240" w:lineRule="auto"/>
    </w:pPr>
    <w:rPr>
      <w:rFonts w:ascii="Times New Roman" w:eastAsia="Times New Roman" w:hAnsi="Times New Roman"/>
      <w:sz w:val="24"/>
      <w:szCs w:val="24"/>
    </w:rPr>
  </w:style>
  <w:style w:type="character" w:customStyle="1" w:styleId="rvts80">
    <w:name w:val="rvts80"/>
    <w:basedOn w:val="a0"/>
    <w:rsid w:val="0022048A"/>
  </w:style>
  <w:style w:type="paragraph" w:styleId="a6">
    <w:name w:val="Normal (Web)"/>
    <w:basedOn w:val="a"/>
    <w:uiPriority w:val="99"/>
    <w:semiHidden/>
    <w:unhideWhenUsed/>
    <w:rsid w:val="0022048A"/>
    <w:rPr>
      <w:rFonts w:ascii="Times New Roman" w:hAnsi="Times New Roman"/>
      <w:sz w:val="24"/>
      <w:szCs w:val="24"/>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customStyle="1" w:styleId="Standard">
    <w:name w:val="Standard"/>
    <w:rsid w:val="00F86C3F"/>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ps.ligazakon.net/document/view/gk43219?ed=2019_07_18&amp;an=1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PhpELjcqUgtwvwixp9lj8yeEVw==">AMUW2mUYSQJhXJlW/X5h++u+Mbpe7YwXEHguwrRWVcR4QYCk5fyW4zO8+IIYyH0WeJkS55uLSLXQQ1XdTe3ewV1HpGp8DnxQkB8+Cx9kyjSGCSB6JCms1FY=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6685</Words>
  <Characters>3812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HP Inc.</cp:lastModifiedBy>
  <cp:revision>2</cp:revision>
  <cp:lastPrinted>2023-03-29T09:31:00Z</cp:lastPrinted>
  <dcterms:created xsi:type="dcterms:W3CDTF">2023-03-29T11:14:00Z</dcterms:created>
  <dcterms:modified xsi:type="dcterms:W3CDTF">2023-03-29T11:14:00Z</dcterms:modified>
</cp:coreProperties>
</file>