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2806DF88" w:rsidR="002B72AC" w:rsidRPr="005160A1" w:rsidRDefault="002B72AC" w:rsidP="00EE295E">
      <w:pPr>
        <w:jc w:val="both"/>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EE295E" w:rsidRPr="00EE295E">
        <w:rPr>
          <w:rFonts w:ascii="Times New Roman" w:hAnsi="Times New Roman" w:cs="Times New Roman"/>
          <w:sz w:val="20"/>
          <w:szCs w:val="20"/>
        </w:rPr>
        <w:t>Послуги із супроводження та технічної підтримки автоматизованої системи автоматизації обліку та документообігу Державної митної служби України</w:t>
      </w:r>
      <w:r>
        <w:rPr>
          <w:rFonts w:ascii="Times New Roman" w:hAnsi="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319738AA" w14:textId="77777777" w:rsidR="00EE295E" w:rsidRPr="00EE295E" w:rsidRDefault="002B72AC" w:rsidP="00EE295E">
      <w:pPr>
        <w:jc w:val="both"/>
        <w:rPr>
          <w:rFonts w:ascii="Times New Roman" w:hAnsi="Times New Roman" w:cs="Times New Roman"/>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EE295E" w:rsidRPr="00EE295E">
        <w:rPr>
          <w:rFonts w:ascii="Times New Roman" w:hAnsi="Times New Roman" w:cs="Times New Roman"/>
        </w:rPr>
        <w:t>ДК 021:2015 – 72260000-5 Послуги, пов’язані з програмним забезпеченням</w:t>
      </w:r>
    </w:p>
    <w:p w14:paraId="5C29E717" w14:textId="79888D23" w:rsidR="002B72AC" w:rsidRPr="00F358F7" w:rsidRDefault="002B72AC" w:rsidP="00EE295E">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w:t>
      </w:r>
      <w:r w:rsidR="004A33E4">
        <w:rPr>
          <w:rFonts w:ascii="Times New Roman" w:hAnsi="Times New Roman"/>
          <w:sz w:val="20"/>
          <w:szCs w:val="20"/>
          <w:u w:val="single"/>
          <w:lang w:val="ru-RU"/>
        </w:rPr>
        <w:t>2</w:t>
      </w:r>
      <w:r w:rsidR="007E6D2F" w:rsidRPr="007E6D2F">
        <w:rPr>
          <w:rFonts w:ascii="Times New Roman" w:hAnsi="Times New Roman"/>
          <w:sz w:val="20"/>
          <w:szCs w:val="20"/>
          <w:u w:val="single"/>
          <w:lang w:val="ru-RU"/>
        </w:rPr>
        <w:t>-</w:t>
      </w:r>
      <w:r w:rsidR="00EE295E">
        <w:rPr>
          <w:rFonts w:ascii="Times New Roman" w:hAnsi="Times New Roman"/>
          <w:sz w:val="20"/>
          <w:szCs w:val="20"/>
          <w:u w:val="single"/>
          <w:lang w:val="ru-RU"/>
        </w:rPr>
        <w:t>15</w:t>
      </w:r>
      <w:r w:rsidR="007E6D2F" w:rsidRPr="007E6D2F">
        <w:rPr>
          <w:rFonts w:ascii="Times New Roman" w:hAnsi="Times New Roman"/>
          <w:sz w:val="20"/>
          <w:szCs w:val="20"/>
          <w:u w:val="single"/>
          <w:lang w:val="ru-RU"/>
        </w:rPr>
        <w:t>-</w:t>
      </w:r>
      <w:r w:rsidR="00EE295E">
        <w:rPr>
          <w:rFonts w:ascii="Times New Roman" w:hAnsi="Times New Roman"/>
          <w:sz w:val="20"/>
          <w:szCs w:val="20"/>
          <w:u w:val="single"/>
          <w:lang w:val="ru-RU"/>
        </w:rPr>
        <w:t>013063-а</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1CE43C89" w:rsidR="002B72AC" w:rsidRPr="00422E29"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EE295E">
        <w:rPr>
          <w:rFonts w:ascii="Times New Roman" w:hAnsi="Times New Roman"/>
          <w:b/>
          <w:sz w:val="20"/>
          <w:szCs w:val="20"/>
        </w:rPr>
        <w:t>802 500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004A33E4">
        <w:rPr>
          <w:rFonts w:ascii="Times New Roman" w:hAnsi="Times New Roman"/>
          <w:sz w:val="20"/>
          <w:szCs w:val="20"/>
        </w:rPr>
        <w:t xml:space="preserve">За два Лоти.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00B0AB3A" w14:textId="1BC23B9C"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EE295E">
        <w:rPr>
          <w:rFonts w:ascii="Times New Roman" w:eastAsia="Times New Roman" w:hAnsi="Times New Roman"/>
          <w:b/>
          <w:bCs/>
          <w:sz w:val="20"/>
          <w:szCs w:val="20"/>
          <w:lang w:eastAsia="uk-UA"/>
        </w:rPr>
        <w:t>802 500</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4A5796FF" w14:textId="1D488171" w:rsidR="00B8113A" w:rsidRPr="00B8113A" w:rsidRDefault="002B72AC" w:rsidP="00B8113A">
      <w:pPr>
        <w:spacing w:after="120"/>
        <w:jc w:val="both"/>
        <w:rPr>
          <w:rFonts w:ascii="Times New Roman" w:hAnsi="Times New Roman" w:cs="Times New Roman"/>
          <w:sz w:val="20"/>
          <w:szCs w:val="20"/>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B8113A" w:rsidRPr="00B8113A">
        <w:rPr>
          <w:color w:val="000000"/>
        </w:rPr>
        <w:t xml:space="preserve"> </w:t>
      </w:r>
      <w:r w:rsidR="00B8113A" w:rsidRPr="00B8113A">
        <w:rPr>
          <w:rFonts w:ascii="Times New Roman" w:hAnsi="Times New Roman" w:cs="Times New Roman"/>
          <w:color w:val="000000"/>
          <w:sz w:val="20"/>
          <w:szCs w:val="20"/>
        </w:rPr>
        <w:t>до  31 грудня 2023 року включно</w:t>
      </w:r>
      <w:r w:rsidR="00B8113A" w:rsidRPr="00B8113A">
        <w:rPr>
          <w:rFonts w:ascii="Times New Roman" w:hAnsi="Times New Roman" w:cs="Times New Roman"/>
          <w:sz w:val="20"/>
          <w:szCs w:val="20"/>
          <w:lang w:eastAsia="ru-RU"/>
        </w:rPr>
        <w:t>.</w:t>
      </w:r>
    </w:p>
    <w:p w14:paraId="2E7D6EF9" w14:textId="7A1675C7" w:rsidR="002B72AC" w:rsidRDefault="002B72AC" w:rsidP="00B8113A">
      <w:pPr>
        <w:spacing w:after="120" w:line="240" w:lineRule="auto"/>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292B8D36" w14:textId="77777777" w:rsidR="00EE295E" w:rsidRPr="00EE295E" w:rsidRDefault="00EE295E" w:rsidP="00EE295E">
      <w:pPr>
        <w:widowControl w:val="0"/>
        <w:ind w:firstLine="720"/>
        <w:jc w:val="center"/>
        <w:rPr>
          <w:rFonts w:ascii="Times New Roman" w:hAnsi="Times New Roman" w:cs="Times New Roman"/>
          <w:b/>
          <w:color w:val="000000"/>
        </w:rPr>
      </w:pPr>
      <w:r w:rsidRPr="00EE295E">
        <w:rPr>
          <w:rFonts w:ascii="Times New Roman" w:hAnsi="Times New Roman" w:cs="Times New Roman"/>
          <w:b/>
          <w:color w:val="000000"/>
        </w:rPr>
        <w:t xml:space="preserve">ТЕХНІЧНІ ВИМОГИ НАДАННЯ ПОСЛУГ, </w:t>
      </w:r>
    </w:p>
    <w:p w14:paraId="06D51268" w14:textId="77777777" w:rsidR="00EE295E" w:rsidRPr="00EE295E" w:rsidRDefault="00EE295E" w:rsidP="00EE295E">
      <w:pPr>
        <w:widowControl w:val="0"/>
        <w:ind w:firstLine="720"/>
        <w:jc w:val="center"/>
        <w:rPr>
          <w:rFonts w:ascii="Times New Roman" w:hAnsi="Times New Roman" w:cs="Times New Roman"/>
          <w:b/>
          <w:color w:val="000000"/>
        </w:rPr>
      </w:pPr>
      <w:r w:rsidRPr="00EE295E">
        <w:rPr>
          <w:rFonts w:ascii="Times New Roman" w:hAnsi="Times New Roman" w:cs="Times New Roman"/>
          <w:b/>
          <w:color w:val="000000"/>
        </w:rPr>
        <w:t xml:space="preserve">пов’язаних з програмним забезпеченням - за кодом ДК 021:2015-72260000-5 </w:t>
      </w:r>
    </w:p>
    <w:p w14:paraId="372FE5B1" w14:textId="77777777" w:rsidR="00EE295E" w:rsidRPr="00EE295E" w:rsidRDefault="00EE295E" w:rsidP="00EE295E">
      <w:pPr>
        <w:widowControl w:val="0"/>
        <w:ind w:firstLine="720"/>
        <w:jc w:val="center"/>
        <w:rPr>
          <w:rFonts w:ascii="Times New Roman" w:hAnsi="Times New Roman" w:cs="Times New Roman"/>
          <w:b/>
          <w:color w:val="000000"/>
        </w:rPr>
      </w:pPr>
      <w:r w:rsidRPr="00EE295E">
        <w:rPr>
          <w:rFonts w:ascii="Times New Roman" w:hAnsi="Times New Roman" w:cs="Times New Roman"/>
          <w:b/>
          <w:color w:val="000000"/>
        </w:rPr>
        <w:t>(Послуг із супроводження та технічної підтримки автоматизованої системи автоматизації обліку та документообігу Державної митної служби України)</w:t>
      </w:r>
    </w:p>
    <w:p w14:paraId="438B7CD6" w14:textId="77777777" w:rsidR="00EE295E" w:rsidRPr="00EE295E" w:rsidRDefault="00EE295E" w:rsidP="00EE295E">
      <w:pPr>
        <w:widowControl w:val="0"/>
        <w:ind w:firstLine="720"/>
        <w:jc w:val="center"/>
        <w:rPr>
          <w:rFonts w:ascii="Times New Roman" w:hAnsi="Times New Roman" w:cs="Times New Roman"/>
          <w:b/>
          <w:color w:val="000000"/>
        </w:rPr>
      </w:pPr>
    </w:p>
    <w:p w14:paraId="5940E6CC" w14:textId="77777777" w:rsidR="00EE295E" w:rsidRPr="00EE295E" w:rsidRDefault="00EE295E" w:rsidP="00EE295E">
      <w:pPr>
        <w:pStyle w:val="a7"/>
        <w:widowControl w:val="0"/>
        <w:numPr>
          <w:ilvl w:val="0"/>
          <w:numId w:val="35"/>
        </w:numPr>
        <w:tabs>
          <w:tab w:val="left" w:pos="1134"/>
        </w:tabs>
        <w:ind w:left="0" w:firstLine="567"/>
        <w:contextualSpacing/>
        <w:jc w:val="both"/>
        <w:rPr>
          <w:rFonts w:ascii="Times New Roman" w:hAnsi="Times New Roman"/>
          <w:b/>
          <w:sz w:val="22"/>
          <w:szCs w:val="22"/>
        </w:rPr>
      </w:pPr>
      <w:r w:rsidRPr="00EE295E">
        <w:rPr>
          <w:rFonts w:ascii="Times New Roman" w:hAnsi="Times New Roman"/>
          <w:b/>
          <w:sz w:val="22"/>
          <w:szCs w:val="22"/>
        </w:rPr>
        <w:t>Виконавець повинен:</w:t>
      </w:r>
    </w:p>
    <w:p w14:paraId="29E2FDC5" w14:textId="77777777" w:rsidR="00EE295E" w:rsidRPr="00EE295E" w:rsidRDefault="00EE295E" w:rsidP="00EE295E">
      <w:pPr>
        <w:widowControl w:val="0"/>
        <w:tabs>
          <w:tab w:val="center" w:pos="709"/>
          <w:tab w:val="left" w:pos="1134"/>
          <w:tab w:val="left" w:pos="1276"/>
        </w:tabs>
        <w:ind w:firstLine="567"/>
        <w:jc w:val="both"/>
        <w:rPr>
          <w:rFonts w:ascii="Times New Roman" w:hAnsi="Times New Roman" w:cs="Times New Roman"/>
        </w:rPr>
      </w:pPr>
    </w:p>
    <w:p w14:paraId="042E4A5C" w14:textId="77777777" w:rsidR="00EE295E" w:rsidRPr="00EE295E" w:rsidRDefault="00EE295E" w:rsidP="00EE295E">
      <w:pPr>
        <w:widowControl w:val="0"/>
        <w:tabs>
          <w:tab w:val="left" w:pos="1134"/>
        </w:tabs>
        <w:ind w:firstLine="567"/>
        <w:jc w:val="both"/>
        <w:rPr>
          <w:rFonts w:ascii="Times New Roman" w:hAnsi="Times New Roman" w:cs="Times New Roman"/>
        </w:rPr>
      </w:pPr>
      <w:r w:rsidRPr="00EE295E">
        <w:rPr>
          <w:rFonts w:ascii="Times New Roman" w:hAnsi="Times New Roman" w:cs="Times New Roman"/>
        </w:rPr>
        <w:t>1.1. Надати послуги з оновлення програмного продукту «MASTER: Документообіг. Комплексне рішення» та «MASTER: Комплексний облік для бюджетних установ», а саме здійснити розробку/удосконалення комп’ютерної програми шляхом створення нових редакцій (релізів) програмного забезпечення (далі – ПЗ) в рамках версії існуючого ПЗ та передати Замовнику результат здійсненої розробки/удосконалення комп’ютерної програми, шляхом створення нових редакцій (релізів) ПЗ в рамках версії існуючого ПЗ.</w:t>
      </w:r>
    </w:p>
    <w:p w14:paraId="7EE74C16" w14:textId="77777777" w:rsidR="00EE295E" w:rsidRPr="00EE295E" w:rsidRDefault="00EE295E" w:rsidP="00EE295E">
      <w:pPr>
        <w:pStyle w:val="a7"/>
        <w:widowControl w:val="0"/>
        <w:numPr>
          <w:ilvl w:val="1"/>
          <w:numId w:val="36"/>
        </w:numPr>
        <w:tabs>
          <w:tab w:val="center" w:pos="709"/>
          <w:tab w:val="left" w:pos="1134"/>
        </w:tabs>
        <w:ind w:left="0" w:firstLine="567"/>
        <w:contextualSpacing/>
        <w:jc w:val="both"/>
        <w:rPr>
          <w:rFonts w:ascii="Times New Roman" w:hAnsi="Times New Roman"/>
          <w:sz w:val="22"/>
          <w:szCs w:val="22"/>
        </w:rPr>
      </w:pPr>
      <w:r w:rsidRPr="00EE295E">
        <w:rPr>
          <w:rFonts w:ascii="Times New Roman" w:hAnsi="Times New Roman"/>
          <w:sz w:val="22"/>
          <w:szCs w:val="22"/>
        </w:rPr>
        <w:t xml:space="preserve"> Забезпечити технічний та консультаційний супровід функціоналу автоматизованої системи автоматизації обліку та документообігу Державної митної служби України (далі – АСАОД):</w:t>
      </w:r>
    </w:p>
    <w:p w14:paraId="0A5EEFB1"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lastRenderedPageBreak/>
        <w:t xml:space="preserve">Супровід користувачів при актуалізації даних в довіднику персоналу та штатному розписі при зміні штатного розпису Держмитслужби та її територіальних органів. </w:t>
      </w:r>
    </w:p>
    <w:p w14:paraId="771E0AFA"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 xml:space="preserve">Супровід користувачів при актуалізації довідника контрагентів, актуалізації прав на додавання та умов додавання нових контрагентів. </w:t>
      </w:r>
    </w:p>
    <w:p w14:paraId="56980311"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Технічну підтримка при налаштуванні умов та правил додавання, коригування та видалення контрагентів.</w:t>
      </w:r>
    </w:p>
    <w:p w14:paraId="20BA92E5"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Супровід та актуалізації довідника видів документів.</w:t>
      </w:r>
    </w:p>
    <w:p w14:paraId="30A22E5D"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Консультаційну підтримка щодо наповнення довідника контрагентів територіальних органів Держмитслужби з можливістю інтеграції з Єдиним державним реєстром юридичних осіб, фізичних осіб-підприємців та громадських формувань.</w:t>
      </w:r>
    </w:p>
    <w:p w14:paraId="58D97116"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Технічний супровід при актуалізації нормативно-довідкової інформації;</w:t>
      </w:r>
    </w:p>
    <w:p w14:paraId="28D447E3"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Додавання/зміна журналів та видів документів відповідно номенклатури справ Держмитслужби;</w:t>
      </w:r>
    </w:p>
    <w:p w14:paraId="72D6A2B5"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 xml:space="preserve">Технічну підтримку при оновленні </w:t>
      </w:r>
      <w:proofErr w:type="spellStart"/>
      <w:r w:rsidRPr="00EE295E">
        <w:rPr>
          <w:rFonts w:ascii="Times New Roman" w:hAnsi="Times New Roman" w:cs="Times New Roman"/>
        </w:rPr>
        <w:t>криптобібліотеки</w:t>
      </w:r>
      <w:proofErr w:type="spellEnd"/>
      <w:r w:rsidRPr="00EE295E">
        <w:rPr>
          <w:rFonts w:ascii="Times New Roman" w:hAnsi="Times New Roman" w:cs="Times New Roman"/>
        </w:rPr>
        <w:t xml:space="preserve"> у зв’язку зі зміною довірчого списку надавачів кваліфікованих електронних послуг, внесення відповідних змін  налаштування програмного забезпечення АСАОД;</w:t>
      </w:r>
    </w:p>
    <w:p w14:paraId="2F2CF264"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Технічну підтримку та актуалізацію бізнес-процесів;</w:t>
      </w:r>
    </w:p>
    <w:p w14:paraId="6A5BAAE3"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Супровід фахівців Держмитслужби при оновленні АСАОД;</w:t>
      </w:r>
    </w:p>
    <w:p w14:paraId="59B7A805"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Консультаційну підтримку щодо коригування, наповнення параметрів системи (глобальних, локальних, групових);</w:t>
      </w:r>
    </w:p>
    <w:p w14:paraId="75B5B4AF"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Обслуговування АСАОД та СЕВ ОВВ з урахуванням оновлення СЕВ ОВВ;</w:t>
      </w:r>
    </w:p>
    <w:p w14:paraId="56E19ADA"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Підтримку розпізнавання штрих-коду та встановлення автоматичного зв’язку документа з його реєстраційною карткою;</w:t>
      </w:r>
    </w:p>
    <w:p w14:paraId="27FE9203"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Актуалізацію навчальних матеріалів для адміністраторів Держмитслужби відповідно до розвитку функціоналу платформи;</w:t>
      </w:r>
    </w:p>
    <w:p w14:paraId="6C343762" w14:textId="77777777" w:rsidR="00EE295E" w:rsidRPr="00EE295E" w:rsidRDefault="00EE295E" w:rsidP="00EE295E">
      <w:pPr>
        <w:widowControl w:val="0"/>
        <w:numPr>
          <w:ilvl w:val="2"/>
          <w:numId w:val="36"/>
        </w:numPr>
        <w:tabs>
          <w:tab w:val="center" w:pos="709"/>
          <w:tab w:val="left" w:pos="1134"/>
        </w:tabs>
        <w:spacing w:after="0" w:line="240" w:lineRule="auto"/>
        <w:ind w:left="0" w:firstLine="567"/>
        <w:jc w:val="both"/>
        <w:rPr>
          <w:rFonts w:ascii="Times New Roman" w:hAnsi="Times New Roman" w:cs="Times New Roman"/>
        </w:rPr>
      </w:pPr>
      <w:r w:rsidRPr="00EE295E">
        <w:rPr>
          <w:rFonts w:ascii="Times New Roman" w:hAnsi="Times New Roman" w:cs="Times New Roman"/>
        </w:rPr>
        <w:t xml:space="preserve">Консультаційну підтримку провідних користувачів АСАОД за напрямками бухгалтерського, кадрового обліку да документообігу. </w:t>
      </w:r>
    </w:p>
    <w:p w14:paraId="2A3D9095" w14:textId="77777777" w:rsidR="00EE295E" w:rsidRPr="00EE295E" w:rsidRDefault="00EE295E" w:rsidP="00EE295E">
      <w:pPr>
        <w:pStyle w:val="a7"/>
        <w:widowControl w:val="0"/>
        <w:numPr>
          <w:ilvl w:val="1"/>
          <w:numId w:val="36"/>
        </w:numPr>
        <w:tabs>
          <w:tab w:val="left" w:pos="1134"/>
        </w:tabs>
        <w:ind w:left="0" w:firstLine="567"/>
        <w:contextualSpacing/>
        <w:jc w:val="both"/>
        <w:rPr>
          <w:rFonts w:ascii="Times New Roman" w:hAnsi="Times New Roman"/>
          <w:sz w:val="22"/>
          <w:szCs w:val="22"/>
        </w:rPr>
      </w:pPr>
      <w:r w:rsidRPr="00EE295E">
        <w:rPr>
          <w:rFonts w:ascii="Times New Roman" w:hAnsi="Times New Roman"/>
          <w:sz w:val="22"/>
          <w:szCs w:val="22"/>
        </w:rPr>
        <w:t xml:space="preserve">Надати Замовнику послуги електронного сервісу технічної підтримки (далі – Служба технічної підтримки) – єдиної точки прийому та реєстрації звернень Замовника. </w:t>
      </w:r>
    </w:p>
    <w:p w14:paraId="16E05FD9" w14:textId="77777777" w:rsidR="00EE295E" w:rsidRPr="00EE295E" w:rsidRDefault="00EE295E" w:rsidP="00EE295E">
      <w:pPr>
        <w:pStyle w:val="a7"/>
        <w:widowControl w:val="0"/>
        <w:tabs>
          <w:tab w:val="left" w:pos="1134"/>
        </w:tabs>
        <w:ind w:left="0" w:firstLine="567"/>
        <w:jc w:val="both"/>
        <w:rPr>
          <w:rFonts w:ascii="Times New Roman" w:hAnsi="Times New Roman"/>
          <w:sz w:val="22"/>
          <w:szCs w:val="22"/>
        </w:rPr>
      </w:pPr>
      <w:r w:rsidRPr="00EE295E">
        <w:rPr>
          <w:rFonts w:ascii="Times New Roman" w:hAnsi="Times New Roman"/>
          <w:sz w:val="22"/>
          <w:szCs w:val="22"/>
        </w:rPr>
        <w:t>Служба технічної підтримки повинна забезпечувати:</w:t>
      </w:r>
    </w:p>
    <w:p w14:paraId="38C9D8C1" w14:textId="77777777" w:rsidR="00EE295E" w:rsidRPr="00EE295E" w:rsidRDefault="00EE295E" w:rsidP="00EE295E">
      <w:pPr>
        <w:widowControl w:val="0"/>
        <w:tabs>
          <w:tab w:val="left" w:pos="1134"/>
        </w:tabs>
        <w:ind w:firstLine="567"/>
        <w:jc w:val="both"/>
        <w:rPr>
          <w:rFonts w:ascii="Times New Roman" w:hAnsi="Times New Roman" w:cs="Times New Roman"/>
        </w:rPr>
      </w:pPr>
      <w:r w:rsidRPr="00EE295E">
        <w:rPr>
          <w:rFonts w:ascii="Times New Roman" w:hAnsi="Times New Roman" w:cs="Times New Roman"/>
        </w:rPr>
        <w:t>−</w:t>
      </w:r>
      <w:r w:rsidRPr="00EE295E">
        <w:rPr>
          <w:rFonts w:ascii="Times New Roman" w:hAnsi="Times New Roman" w:cs="Times New Roman"/>
        </w:rPr>
        <w:tab/>
        <w:t xml:space="preserve">реєстрацію звернень за допомогою WEB із зазначенням дати і часу, набору реквізитів для однозначної ідентифікації уповноваженої особи Замовника, терміновості реакції на звернення і </w:t>
      </w:r>
      <w:proofErr w:type="spellStart"/>
      <w:r w:rsidRPr="00EE295E">
        <w:rPr>
          <w:rFonts w:ascii="Times New Roman" w:hAnsi="Times New Roman" w:cs="Times New Roman"/>
        </w:rPr>
        <w:t>т.п</w:t>
      </w:r>
      <w:proofErr w:type="spellEnd"/>
      <w:r w:rsidRPr="00EE295E">
        <w:rPr>
          <w:rFonts w:ascii="Times New Roman" w:hAnsi="Times New Roman" w:cs="Times New Roman"/>
        </w:rPr>
        <w:t>.</w:t>
      </w:r>
    </w:p>
    <w:p w14:paraId="328D448C" w14:textId="77777777" w:rsidR="00EE295E" w:rsidRPr="00EE295E" w:rsidRDefault="00EE295E" w:rsidP="00EE295E">
      <w:pPr>
        <w:widowControl w:val="0"/>
        <w:tabs>
          <w:tab w:val="left" w:pos="1134"/>
        </w:tabs>
        <w:ind w:firstLine="567"/>
        <w:jc w:val="both"/>
        <w:rPr>
          <w:rFonts w:ascii="Times New Roman" w:hAnsi="Times New Roman" w:cs="Times New Roman"/>
        </w:rPr>
      </w:pPr>
      <w:r w:rsidRPr="00EE295E">
        <w:rPr>
          <w:rFonts w:ascii="Times New Roman" w:hAnsi="Times New Roman" w:cs="Times New Roman"/>
        </w:rPr>
        <w:t>−</w:t>
      </w:r>
      <w:r w:rsidRPr="00EE295E">
        <w:rPr>
          <w:rFonts w:ascii="Times New Roman" w:hAnsi="Times New Roman" w:cs="Times New Roman"/>
        </w:rPr>
        <w:tab/>
        <w:t xml:space="preserve">ведення інформації про хід рішення, ескалацію у вигляді повідомлень засобами електронної пошти. </w:t>
      </w:r>
    </w:p>
    <w:p w14:paraId="708B7FEE" w14:textId="77777777" w:rsidR="00EE295E" w:rsidRPr="00EE295E" w:rsidRDefault="00EE295E" w:rsidP="00EE295E">
      <w:pPr>
        <w:widowControl w:val="0"/>
        <w:tabs>
          <w:tab w:val="left" w:pos="1134"/>
        </w:tabs>
        <w:ind w:firstLine="567"/>
        <w:jc w:val="both"/>
        <w:rPr>
          <w:rFonts w:ascii="Times New Roman" w:hAnsi="Times New Roman" w:cs="Times New Roman"/>
        </w:rPr>
      </w:pPr>
      <w:r w:rsidRPr="00EE295E">
        <w:rPr>
          <w:rFonts w:ascii="Times New Roman" w:hAnsi="Times New Roman" w:cs="Times New Roman"/>
        </w:rPr>
        <w:t>−</w:t>
      </w:r>
      <w:r w:rsidRPr="00EE295E">
        <w:rPr>
          <w:rFonts w:ascii="Times New Roman" w:hAnsi="Times New Roman" w:cs="Times New Roman"/>
        </w:rPr>
        <w:tab/>
        <w:t>накопичення знання для подальшого їх використання у вирішенні наступних звернень уповноважених осіб Замовника.</w:t>
      </w:r>
    </w:p>
    <w:p w14:paraId="32B7BBD5" w14:textId="77777777" w:rsidR="00EE295E" w:rsidRPr="00EE295E" w:rsidRDefault="00EE295E" w:rsidP="00EE295E">
      <w:pPr>
        <w:pStyle w:val="a7"/>
        <w:widowControl w:val="0"/>
        <w:numPr>
          <w:ilvl w:val="0"/>
          <w:numId w:val="37"/>
        </w:numPr>
        <w:tabs>
          <w:tab w:val="left" w:pos="1134"/>
        </w:tabs>
        <w:ind w:left="0" w:firstLine="567"/>
        <w:contextualSpacing/>
        <w:jc w:val="both"/>
        <w:rPr>
          <w:rFonts w:ascii="Times New Roman" w:hAnsi="Times New Roman"/>
          <w:sz w:val="22"/>
          <w:szCs w:val="22"/>
        </w:rPr>
      </w:pPr>
      <w:r w:rsidRPr="00EE295E">
        <w:rPr>
          <w:rFonts w:ascii="Times New Roman" w:hAnsi="Times New Roman"/>
          <w:sz w:val="22"/>
          <w:szCs w:val="22"/>
        </w:rPr>
        <w:t xml:space="preserve">формування статистики щодо часу, витраченого на виконання звернень Замовника за певний період. </w:t>
      </w:r>
    </w:p>
    <w:p w14:paraId="4DADA349" w14:textId="77777777" w:rsidR="00EE295E" w:rsidRPr="00EE295E" w:rsidRDefault="00EE295E" w:rsidP="00EE295E">
      <w:pPr>
        <w:pStyle w:val="a7"/>
        <w:widowControl w:val="0"/>
        <w:ind w:left="0" w:firstLine="567"/>
        <w:jc w:val="both"/>
        <w:rPr>
          <w:rFonts w:ascii="Times New Roman" w:hAnsi="Times New Roman"/>
          <w:sz w:val="22"/>
          <w:szCs w:val="22"/>
        </w:rPr>
      </w:pPr>
      <w:r w:rsidRPr="00EE295E">
        <w:rPr>
          <w:rFonts w:ascii="Times New Roman" w:hAnsi="Times New Roman"/>
          <w:sz w:val="22"/>
          <w:szCs w:val="22"/>
        </w:rPr>
        <w:t>Для звернень повинна бути передбачена можливість реєстрації звернень за допомогою телефону та електронної пошти.</w:t>
      </w:r>
    </w:p>
    <w:p w14:paraId="195DF73F" w14:textId="77777777" w:rsidR="00EE295E" w:rsidRPr="00EE295E" w:rsidRDefault="00EE295E" w:rsidP="00EE295E">
      <w:pPr>
        <w:pStyle w:val="a7"/>
        <w:widowControl w:val="0"/>
        <w:ind w:left="0" w:firstLine="567"/>
        <w:jc w:val="both"/>
        <w:rPr>
          <w:rFonts w:ascii="Times New Roman" w:hAnsi="Times New Roman"/>
          <w:sz w:val="22"/>
          <w:szCs w:val="22"/>
        </w:rPr>
      </w:pPr>
      <w:r w:rsidRPr="00EE295E">
        <w:rPr>
          <w:rFonts w:ascii="Times New Roman" w:hAnsi="Times New Roman"/>
          <w:sz w:val="22"/>
          <w:szCs w:val="22"/>
        </w:rPr>
        <w:t>Розслідування, діагностика та рішення інцидентів у функціонуванні АСАОД у режимі віддаленого спілкування на підставі інформації, наданої Замовником через Службу технічної підтримки.</w:t>
      </w:r>
    </w:p>
    <w:p w14:paraId="44E2E98D" w14:textId="77777777" w:rsidR="00EE295E" w:rsidRPr="00EE295E" w:rsidRDefault="00EE295E" w:rsidP="00EE295E">
      <w:pPr>
        <w:widowControl w:val="0"/>
        <w:ind w:firstLine="567"/>
        <w:jc w:val="both"/>
        <w:rPr>
          <w:rFonts w:ascii="Times New Roman" w:hAnsi="Times New Roman" w:cs="Times New Roman"/>
        </w:rPr>
      </w:pPr>
      <w:r w:rsidRPr="00EE295E">
        <w:rPr>
          <w:rFonts w:ascii="Times New Roman" w:hAnsi="Times New Roman" w:cs="Times New Roman"/>
        </w:rPr>
        <w:t>Уповноважені особи Замовника, проаналізувавши технічну проблему присвоюють цій технічній проблемі один з наступних пріоритетів:</w:t>
      </w:r>
    </w:p>
    <w:tbl>
      <w:tblPr>
        <w:tblW w:w="9731" w:type="dxa"/>
        <w:tblInd w:w="5" w:type="dxa"/>
        <w:tblCellMar>
          <w:left w:w="5" w:type="dxa"/>
          <w:right w:w="0" w:type="dxa"/>
        </w:tblCellMar>
        <w:tblLook w:val="0000" w:firstRow="0" w:lastRow="0" w:firstColumn="0" w:lastColumn="0" w:noHBand="0" w:noVBand="0"/>
      </w:tblPr>
      <w:tblGrid>
        <w:gridCol w:w="2058"/>
        <w:gridCol w:w="3886"/>
        <w:gridCol w:w="3787"/>
      </w:tblGrid>
      <w:tr w:rsidR="00EE295E" w:rsidRPr="00EE295E" w14:paraId="7CFD7ECE" w14:textId="77777777" w:rsidTr="005172E4">
        <w:trPr>
          <w:trHeight w:val="1055"/>
        </w:trPr>
        <w:tc>
          <w:tcPr>
            <w:tcW w:w="2058" w:type="dxa"/>
            <w:tcBorders>
              <w:top w:val="single" w:sz="4" w:space="0" w:color="000080"/>
              <w:left w:val="single" w:sz="4" w:space="0" w:color="000080"/>
              <w:bottom w:val="single" w:sz="4" w:space="0" w:color="000080"/>
            </w:tcBorders>
            <w:shd w:val="clear" w:color="auto" w:fill="auto"/>
            <w:vAlign w:val="center"/>
          </w:tcPr>
          <w:p w14:paraId="5026B2DE" w14:textId="77777777" w:rsidR="00EE295E" w:rsidRPr="00EE295E" w:rsidRDefault="00EE295E" w:rsidP="005172E4">
            <w:pPr>
              <w:pStyle w:val="3f3f3f3f3f3f3f3f3f3f3f3f3f1"/>
              <w:tabs>
                <w:tab w:val="left" w:pos="851"/>
                <w:tab w:val="left" w:pos="993"/>
              </w:tabs>
              <w:spacing w:after="0"/>
              <w:ind w:firstLine="709"/>
              <w:rPr>
                <w:rFonts w:ascii="Times New Roman" w:eastAsia="Times New Roman" w:hAnsi="Times New Roman" w:cs="Times New Roman"/>
                <w:color w:val="auto"/>
                <w:kern w:val="0"/>
                <w:shd w:val="clear" w:color="auto" w:fill="FFFFFF"/>
                <w:lang w:val="uk-UA" w:eastAsia="en-US" w:bidi="ar-SA"/>
              </w:rPr>
            </w:pPr>
            <w:r w:rsidRPr="00EE295E">
              <w:rPr>
                <w:rFonts w:ascii="Times New Roman" w:eastAsia="Times New Roman" w:hAnsi="Times New Roman" w:cs="Times New Roman"/>
                <w:color w:val="auto"/>
                <w:kern w:val="0"/>
                <w:shd w:val="clear" w:color="auto" w:fill="FFFFFF"/>
                <w:lang w:val="uk-UA" w:eastAsia="en-US" w:bidi="ar-SA"/>
              </w:rPr>
              <w:t>Пріоритет</w:t>
            </w:r>
          </w:p>
        </w:tc>
        <w:tc>
          <w:tcPr>
            <w:tcW w:w="3886" w:type="dxa"/>
            <w:tcBorders>
              <w:top w:val="single" w:sz="4" w:space="0" w:color="000080"/>
              <w:left w:val="single" w:sz="4" w:space="0" w:color="000080"/>
              <w:bottom w:val="single" w:sz="4" w:space="0" w:color="000080"/>
            </w:tcBorders>
            <w:shd w:val="clear" w:color="auto" w:fill="auto"/>
            <w:vAlign w:val="center"/>
          </w:tcPr>
          <w:p w14:paraId="77A8D705" w14:textId="77777777" w:rsidR="00EE295E" w:rsidRPr="00EE295E" w:rsidRDefault="00EE295E" w:rsidP="005172E4">
            <w:pPr>
              <w:pStyle w:val="3f3f3f3f3f3f3f3f3f3f3f3f3f1"/>
              <w:tabs>
                <w:tab w:val="left" w:pos="851"/>
                <w:tab w:val="left" w:pos="993"/>
              </w:tabs>
              <w:spacing w:after="0"/>
              <w:ind w:firstLine="709"/>
              <w:jc w:val="center"/>
              <w:rPr>
                <w:rFonts w:ascii="Times New Roman" w:eastAsia="Times New Roman" w:hAnsi="Times New Roman" w:cs="Times New Roman"/>
                <w:color w:val="auto"/>
                <w:kern w:val="0"/>
                <w:shd w:val="clear" w:color="auto" w:fill="FFFFFF"/>
                <w:lang w:val="uk-UA" w:eastAsia="en-US" w:bidi="ar-SA"/>
              </w:rPr>
            </w:pPr>
            <w:r w:rsidRPr="00EE295E">
              <w:rPr>
                <w:rFonts w:ascii="Times New Roman" w:eastAsia="Times New Roman" w:hAnsi="Times New Roman" w:cs="Times New Roman"/>
                <w:color w:val="auto"/>
                <w:kern w:val="0"/>
                <w:shd w:val="clear" w:color="auto" w:fill="FFFFFF"/>
                <w:lang w:val="uk-UA" w:eastAsia="en-US" w:bidi="ar-SA"/>
              </w:rPr>
              <w:t>Вплив проблеми на функціонування АСАОД</w:t>
            </w:r>
          </w:p>
        </w:tc>
        <w:tc>
          <w:tcPr>
            <w:tcW w:w="3787" w:type="dxa"/>
            <w:tcBorders>
              <w:top w:val="single" w:sz="4" w:space="0" w:color="000080"/>
              <w:left w:val="single" w:sz="4" w:space="0" w:color="000080"/>
              <w:bottom w:val="single" w:sz="4" w:space="0" w:color="000080"/>
              <w:right w:val="single" w:sz="4" w:space="0" w:color="000080"/>
            </w:tcBorders>
            <w:shd w:val="clear" w:color="auto" w:fill="auto"/>
            <w:vAlign w:val="center"/>
          </w:tcPr>
          <w:p w14:paraId="234DDBFF" w14:textId="77777777" w:rsidR="00EE295E" w:rsidRPr="00EE295E" w:rsidRDefault="00EE295E" w:rsidP="005172E4">
            <w:pPr>
              <w:pStyle w:val="3f3f3f3f3f3f3f3f3f3f3f3f3f1"/>
              <w:tabs>
                <w:tab w:val="left" w:pos="851"/>
                <w:tab w:val="left" w:pos="993"/>
              </w:tabs>
              <w:spacing w:after="0"/>
              <w:ind w:firstLine="709"/>
              <w:jc w:val="center"/>
              <w:rPr>
                <w:rFonts w:ascii="Times New Roman" w:eastAsia="Times New Roman" w:hAnsi="Times New Roman" w:cs="Times New Roman"/>
                <w:color w:val="auto"/>
                <w:kern w:val="0"/>
                <w:shd w:val="clear" w:color="auto" w:fill="FFFFFF"/>
                <w:lang w:val="uk-UA" w:eastAsia="en-US" w:bidi="ar-SA"/>
              </w:rPr>
            </w:pPr>
            <w:r w:rsidRPr="00EE295E">
              <w:rPr>
                <w:rFonts w:ascii="Times New Roman" w:eastAsia="Times New Roman" w:hAnsi="Times New Roman" w:cs="Times New Roman"/>
                <w:color w:val="auto"/>
                <w:kern w:val="0"/>
                <w:shd w:val="clear" w:color="auto" w:fill="FFFFFF"/>
                <w:lang w:val="uk-UA" w:eastAsia="en-US" w:bidi="ar-SA"/>
              </w:rPr>
              <w:t>Час реагування та виконання запиту Виконавцем</w:t>
            </w:r>
          </w:p>
        </w:tc>
      </w:tr>
      <w:tr w:rsidR="00EE295E" w:rsidRPr="00EE295E" w14:paraId="6CA0DE38" w14:textId="77777777" w:rsidTr="005172E4">
        <w:trPr>
          <w:trHeight w:val="1112"/>
        </w:trPr>
        <w:tc>
          <w:tcPr>
            <w:tcW w:w="2058" w:type="dxa"/>
            <w:tcBorders>
              <w:top w:val="single" w:sz="4" w:space="0" w:color="000080"/>
              <w:left w:val="single" w:sz="4" w:space="0" w:color="000080"/>
              <w:bottom w:val="single" w:sz="4" w:space="0" w:color="000080"/>
            </w:tcBorders>
            <w:shd w:val="clear" w:color="auto" w:fill="FFFFFF"/>
          </w:tcPr>
          <w:p w14:paraId="23F69561" w14:textId="77777777" w:rsidR="00EE295E" w:rsidRPr="00EE295E" w:rsidRDefault="00EE295E" w:rsidP="005172E4">
            <w:pPr>
              <w:tabs>
                <w:tab w:val="left" w:pos="851"/>
                <w:tab w:val="left" w:pos="993"/>
              </w:tabs>
              <w:rPr>
                <w:rFonts w:ascii="Times New Roman" w:hAnsi="Times New Roman" w:cs="Times New Roman"/>
                <w:shd w:val="clear" w:color="auto" w:fill="FFFFFF"/>
              </w:rPr>
            </w:pPr>
            <w:r w:rsidRPr="00EE295E">
              <w:rPr>
                <w:rFonts w:ascii="Times New Roman" w:hAnsi="Times New Roman" w:cs="Times New Roman"/>
                <w:shd w:val="clear" w:color="auto" w:fill="FFFFFF"/>
              </w:rPr>
              <w:t>Блокуючий</w:t>
            </w:r>
          </w:p>
        </w:tc>
        <w:tc>
          <w:tcPr>
            <w:tcW w:w="3886" w:type="dxa"/>
            <w:tcBorders>
              <w:top w:val="single" w:sz="4" w:space="0" w:color="000080"/>
              <w:left w:val="single" w:sz="4" w:space="0" w:color="000080"/>
              <w:bottom w:val="single" w:sz="4" w:space="0" w:color="000080"/>
            </w:tcBorders>
            <w:shd w:val="clear" w:color="auto" w:fill="FFFFFF"/>
          </w:tcPr>
          <w:p w14:paraId="45CD7D7C" w14:textId="77777777" w:rsidR="00EE295E" w:rsidRPr="00EE295E" w:rsidRDefault="00EE295E" w:rsidP="005172E4">
            <w:pPr>
              <w:tabs>
                <w:tab w:val="left" w:pos="851"/>
                <w:tab w:val="left" w:pos="1050"/>
              </w:tabs>
              <w:ind w:left="57" w:right="57" w:firstLine="567"/>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Проблема може перешкоджати виконанню оперативної цілі</w:t>
            </w:r>
            <w:r w:rsidRPr="00EE295E">
              <w:rPr>
                <w:rFonts w:ascii="Times New Roman" w:hAnsi="Times New Roman" w:cs="Times New Roman"/>
                <w:shd w:val="clear" w:color="auto" w:fill="FFFFFF"/>
              </w:rPr>
              <w:br/>
              <w:t>чи суттєвої спроможності, порушувати безпеку, секретність</w:t>
            </w:r>
            <w:r w:rsidRPr="00EE295E">
              <w:rPr>
                <w:rFonts w:ascii="Times New Roman" w:hAnsi="Times New Roman" w:cs="Times New Roman"/>
                <w:shd w:val="clear" w:color="auto" w:fill="FFFFFF"/>
              </w:rPr>
              <w:br/>
              <w:t>чи інші вимоги.</w:t>
            </w:r>
          </w:p>
        </w:tc>
        <w:tc>
          <w:tcPr>
            <w:tcW w:w="3787" w:type="dxa"/>
            <w:tcBorders>
              <w:top w:val="single" w:sz="4" w:space="0" w:color="000080"/>
              <w:left w:val="single" w:sz="4" w:space="0" w:color="000080"/>
              <w:bottom w:val="single" w:sz="4" w:space="0" w:color="000080"/>
              <w:right w:val="single" w:sz="4" w:space="0" w:color="000080"/>
            </w:tcBorders>
            <w:shd w:val="clear" w:color="auto" w:fill="FFFFFF"/>
          </w:tcPr>
          <w:p w14:paraId="7753D051" w14:textId="77777777" w:rsidR="00EE295E" w:rsidRPr="00EE295E" w:rsidRDefault="00EE295E" w:rsidP="005172E4">
            <w:pPr>
              <w:tabs>
                <w:tab w:val="left" w:pos="851"/>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Реагування протягом однієї години з моменту отримання запиту.</w:t>
            </w:r>
          </w:p>
          <w:p w14:paraId="656B9E32" w14:textId="77777777" w:rsidR="00EE295E" w:rsidRPr="00EE295E" w:rsidRDefault="00EE295E" w:rsidP="005172E4">
            <w:pPr>
              <w:tabs>
                <w:tab w:val="left" w:pos="851"/>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Виконання протягом двох годин з моменту отримання запиту.</w:t>
            </w:r>
          </w:p>
        </w:tc>
      </w:tr>
      <w:tr w:rsidR="00EE295E" w:rsidRPr="00EE295E" w14:paraId="696D6397" w14:textId="77777777" w:rsidTr="005172E4">
        <w:tc>
          <w:tcPr>
            <w:tcW w:w="2058" w:type="dxa"/>
            <w:tcBorders>
              <w:top w:val="single" w:sz="4" w:space="0" w:color="000080"/>
              <w:left w:val="single" w:sz="4" w:space="0" w:color="000080"/>
              <w:bottom w:val="single" w:sz="4" w:space="0" w:color="000080"/>
            </w:tcBorders>
            <w:shd w:val="clear" w:color="auto" w:fill="FFFFFF"/>
          </w:tcPr>
          <w:p w14:paraId="727A066C" w14:textId="77777777" w:rsidR="00EE295E" w:rsidRPr="00EE295E" w:rsidRDefault="00EE295E" w:rsidP="005172E4">
            <w:pPr>
              <w:tabs>
                <w:tab w:val="left" w:pos="851"/>
                <w:tab w:val="left" w:pos="993"/>
              </w:tabs>
              <w:rPr>
                <w:rFonts w:ascii="Times New Roman" w:hAnsi="Times New Roman" w:cs="Times New Roman"/>
                <w:shd w:val="clear" w:color="auto" w:fill="FFFFFF"/>
              </w:rPr>
            </w:pPr>
            <w:r w:rsidRPr="00EE295E">
              <w:rPr>
                <w:rFonts w:ascii="Times New Roman" w:hAnsi="Times New Roman" w:cs="Times New Roman"/>
                <w:shd w:val="clear" w:color="auto" w:fill="FFFFFF"/>
              </w:rPr>
              <w:lastRenderedPageBreak/>
              <w:t>Критичний</w:t>
            </w:r>
          </w:p>
        </w:tc>
        <w:tc>
          <w:tcPr>
            <w:tcW w:w="3886" w:type="dxa"/>
            <w:tcBorders>
              <w:top w:val="single" w:sz="4" w:space="0" w:color="000080"/>
              <w:left w:val="single" w:sz="4" w:space="0" w:color="000080"/>
              <w:bottom w:val="single" w:sz="4" w:space="0" w:color="000080"/>
            </w:tcBorders>
            <w:shd w:val="clear" w:color="auto" w:fill="FFFFFF"/>
          </w:tcPr>
          <w:p w14:paraId="4E5555A5" w14:textId="77777777" w:rsidR="00EE295E" w:rsidRPr="00EE295E" w:rsidRDefault="00EE295E" w:rsidP="005172E4">
            <w:pPr>
              <w:tabs>
                <w:tab w:val="left" w:pos="851"/>
                <w:tab w:val="left" w:pos="1050"/>
              </w:tabs>
              <w:ind w:left="57" w:right="57" w:firstLine="567"/>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Проблема може негативно впливати на досягнення оперативної чи суттєвої спроможності, на технічну сторону, витрати чи ризик виконання графіку</w:t>
            </w:r>
            <w:r w:rsidRPr="00EE295E">
              <w:rPr>
                <w:rFonts w:ascii="Times New Roman" w:hAnsi="Times New Roman" w:cs="Times New Roman"/>
                <w:shd w:val="clear" w:color="auto" w:fill="FFFFFF"/>
              </w:rPr>
              <w:br/>
              <w:t>по проекту або по життєвому циклу супроводу та підтримки системи.</w:t>
            </w:r>
          </w:p>
        </w:tc>
        <w:tc>
          <w:tcPr>
            <w:tcW w:w="3787" w:type="dxa"/>
            <w:tcBorders>
              <w:top w:val="single" w:sz="4" w:space="0" w:color="000080"/>
              <w:left w:val="single" w:sz="4" w:space="0" w:color="000080"/>
              <w:bottom w:val="single" w:sz="4" w:space="0" w:color="000080"/>
              <w:right w:val="single" w:sz="4" w:space="0" w:color="000080"/>
            </w:tcBorders>
            <w:shd w:val="clear" w:color="auto" w:fill="FFFFFF"/>
          </w:tcPr>
          <w:p w14:paraId="3AC370E3" w14:textId="77777777" w:rsidR="00EE295E" w:rsidRPr="00EE295E" w:rsidRDefault="00EE295E" w:rsidP="005172E4">
            <w:pPr>
              <w:tabs>
                <w:tab w:val="left" w:pos="851"/>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Реагування протягом чотирьох робочих годин з моменту отримання запиту.</w:t>
            </w:r>
          </w:p>
          <w:p w14:paraId="76CE750D" w14:textId="77777777" w:rsidR="00EE295E" w:rsidRPr="00EE295E" w:rsidRDefault="00EE295E" w:rsidP="005172E4">
            <w:pPr>
              <w:tabs>
                <w:tab w:val="left" w:pos="851"/>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Виконання протягом шістнадцяти робочих годин</w:t>
            </w:r>
            <w:r w:rsidRPr="00EE295E">
              <w:rPr>
                <w:rFonts w:ascii="Times New Roman" w:hAnsi="Times New Roman" w:cs="Times New Roman"/>
                <w:shd w:val="clear" w:color="auto" w:fill="FFFFFF"/>
              </w:rPr>
              <w:br/>
              <w:t>з моменту отримання запиту</w:t>
            </w:r>
          </w:p>
        </w:tc>
      </w:tr>
      <w:tr w:rsidR="00EE295E" w:rsidRPr="00EE295E" w14:paraId="3074312E" w14:textId="77777777" w:rsidTr="005172E4">
        <w:tc>
          <w:tcPr>
            <w:tcW w:w="2058" w:type="dxa"/>
            <w:tcBorders>
              <w:top w:val="single" w:sz="4" w:space="0" w:color="000080"/>
              <w:left w:val="single" w:sz="4" w:space="0" w:color="000080"/>
              <w:bottom w:val="single" w:sz="4" w:space="0" w:color="000080"/>
            </w:tcBorders>
            <w:shd w:val="clear" w:color="auto" w:fill="FFFFFF"/>
          </w:tcPr>
          <w:p w14:paraId="2492790A" w14:textId="77777777" w:rsidR="00EE295E" w:rsidRPr="00EE295E" w:rsidRDefault="00EE295E" w:rsidP="005172E4">
            <w:pPr>
              <w:tabs>
                <w:tab w:val="left" w:pos="851"/>
                <w:tab w:val="left" w:pos="993"/>
              </w:tabs>
              <w:rPr>
                <w:rFonts w:ascii="Times New Roman" w:hAnsi="Times New Roman" w:cs="Times New Roman"/>
                <w:shd w:val="clear" w:color="auto" w:fill="FFFFFF"/>
              </w:rPr>
            </w:pPr>
            <w:r w:rsidRPr="00EE295E">
              <w:rPr>
                <w:rFonts w:ascii="Times New Roman" w:hAnsi="Times New Roman" w:cs="Times New Roman"/>
                <w:shd w:val="clear" w:color="auto" w:fill="FFFFFF"/>
              </w:rPr>
              <w:t>Стандартний</w:t>
            </w:r>
          </w:p>
        </w:tc>
        <w:tc>
          <w:tcPr>
            <w:tcW w:w="3886" w:type="dxa"/>
            <w:tcBorders>
              <w:top w:val="single" w:sz="4" w:space="0" w:color="000080"/>
              <w:left w:val="single" w:sz="4" w:space="0" w:color="000080"/>
              <w:bottom w:val="single" w:sz="4" w:space="0" w:color="000080"/>
            </w:tcBorders>
            <w:shd w:val="clear" w:color="auto" w:fill="FFFFFF"/>
          </w:tcPr>
          <w:p w14:paraId="223A3EAA" w14:textId="77777777" w:rsidR="00EE295E" w:rsidRPr="00EE295E" w:rsidRDefault="00EE295E" w:rsidP="005172E4">
            <w:pPr>
              <w:tabs>
                <w:tab w:val="left" w:pos="851"/>
                <w:tab w:val="left" w:pos="1050"/>
              </w:tabs>
              <w:ind w:left="57" w:right="57" w:firstLine="567"/>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Проблема може бути пов’язана</w:t>
            </w:r>
            <w:r w:rsidRPr="00EE295E">
              <w:rPr>
                <w:rFonts w:ascii="Times New Roman" w:hAnsi="Times New Roman" w:cs="Times New Roman"/>
                <w:shd w:val="clear" w:color="auto" w:fill="FFFFFF"/>
              </w:rPr>
              <w:br/>
              <w:t>з некритичними дефектами, налагодженням системи.</w:t>
            </w:r>
          </w:p>
        </w:tc>
        <w:tc>
          <w:tcPr>
            <w:tcW w:w="3787" w:type="dxa"/>
            <w:tcBorders>
              <w:top w:val="single" w:sz="4" w:space="0" w:color="000080"/>
              <w:left w:val="single" w:sz="4" w:space="0" w:color="000080"/>
              <w:bottom w:val="single" w:sz="4" w:space="0" w:color="000080"/>
              <w:right w:val="single" w:sz="4" w:space="0" w:color="000080"/>
            </w:tcBorders>
            <w:shd w:val="clear" w:color="auto" w:fill="FFFFFF"/>
          </w:tcPr>
          <w:p w14:paraId="2F82C4EB" w14:textId="77777777" w:rsidR="00EE295E" w:rsidRPr="00EE295E" w:rsidRDefault="00EE295E" w:rsidP="005172E4">
            <w:pPr>
              <w:tabs>
                <w:tab w:val="left" w:pos="777"/>
                <w:tab w:val="left" w:pos="851"/>
                <w:tab w:val="left" w:pos="957"/>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Реагування протягом восьми робочих годин з моменту отримання запиту.</w:t>
            </w:r>
          </w:p>
          <w:p w14:paraId="46C937F3" w14:textId="77777777" w:rsidR="00EE295E" w:rsidRPr="00EE295E" w:rsidRDefault="00EE295E" w:rsidP="005172E4">
            <w:pPr>
              <w:tabs>
                <w:tab w:val="left" w:pos="851"/>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Виконання протягом двадцяти чотирьох</w:t>
            </w:r>
            <w:bookmarkStart w:id="0" w:name="_GoBack"/>
            <w:bookmarkEnd w:id="0"/>
            <w:r w:rsidRPr="00EE295E">
              <w:rPr>
                <w:rFonts w:ascii="Times New Roman" w:hAnsi="Times New Roman" w:cs="Times New Roman"/>
                <w:shd w:val="clear" w:color="auto" w:fill="FFFFFF"/>
              </w:rPr>
              <w:t xml:space="preserve"> робочих годин</w:t>
            </w:r>
            <w:r w:rsidRPr="00EE295E">
              <w:rPr>
                <w:rFonts w:ascii="Times New Roman" w:hAnsi="Times New Roman" w:cs="Times New Roman"/>
                <w:shd w:val="clear" w:color="auto" w:fill="FFFFFF"/>
              </w:rPr>
              <w:br/>
              <w:t>з моменту отримання запиту.</w:t>
            </w:r>
          </w:p>
        </w:tc>
      </w:tr>
      <w:tr w:rsidR="00EE295E" w:rsidRPr="00EE295E" w14:paraId="6FB23911" w14:textId="77777777" w:rsidTr="005172E4">
        <w:tc>
          <w:tcPr>
            <w:tcW w:w="2058" w:type="dxa"/>
            <w:tcBorders>
              <w:top w:val="single" w:sz="4" w:space="0" w:color="000080"/>
              <w:left w:val="single" w:sz="4" w:space="0" w:color="000080"/>
              <w:bottom w:val="single" w:sz="4" w:space="0" w:color="000080"/>
            </w:tcBorders>
            <w:shd w:val="clear" w:color="auto" w:fill="FFFFFF"/>
          </w:tcPr>
          <w:p w14:paraId="748F8B9F" w14:textId="77777777" w:rsidR="00EE295E" w:rsidRPr="00EE295E" w:rsidRDefault="00EE295E" w:rsidP="005172E4">
            <w:pPr>
              <w:tabs>
                <w:tab w:val="left" w:pos="851"/>
                <w:tab w:val="left" w:pos="993"/>
              </w:tabs>
              <w:rPr>
                <w:rFonts w:ascii="Times New Roman" w:hAnsi="Times New Roman" w:cs="Times New Roman"/>
                <w:shd w:val="clear" w:color="auto" w:fill="FFFFFF"/>
              </w:rPr>
            </w:pPr>
            <w:r w:rsidRPr="00EE295E">
              <w:rPr>
                <w:rFonts w:ascii="Times New Roman" w:hAnsi="Times New Roman" w:cs="Times New Roman"/>
                <w:shd w:val="clear" w:color="auto" w:fill="FFFFFF"/>
              </w:rPr>
              <w:t>Низький</w:t>
            </w:r>
          </w:p>
        </w:tc>
        <w:tc>
          <w:tcPr>
            <w:tcW w:w="3886" w:type="dxa"/>
            <w:tcBorders>
              <w:top w:val="single" w:sz="4" w:space="0" w:color="000080"/>
              <w:left w:val="single" w:sz="4" w:space="0" w:color="000080"/>
              <w:bottom w:val="single" w:sz="4" w:space="0" w:color="000080"/>
            </w:tcBorders>
            <w:shd w:val="clear" w:color="auto" w:fill="FFFFFF"/>
          </w:tcPr>
          <w:p w14:paraId="41EC51C4" w14:textId="77777777" w:rsidR="00EE295E" w:rsidRPr="00EE295E" w:rsidRDefault="00EE295E" w:rsidP="005172E4">
            <w:pPr>
              <w:tabs>
                <w:tab w:val="left" w:pos="851"/>
                <w:tab w:val="left" w:pos="1050"/>
              </w:tabs>
              <w:ind w:left="57" w:right="57" w:firstLine="567"/>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Проблема мінімально впливає</w:t>
            </w:r>
            <w:r w:rsidRPr="00EE295E">
              <w:rPr>
                <w:rFonts w:ascii="Times New Roman" w:hAnsi="Times New Roman" w:cs="Times New Roman"/>
                <w:shd w:val="clear" w:color="auto" w:fill="FFFFFF"/>
              </w:rPr>
              <w:br/>
              <w:t>на функціонування системи</w:t>
            </w:r>
          </w:p>
        </w:tc>
        <w:tc>
          <w:tcPr>
            <w:tcW w:w="3787" w:type="dxa"/>
            <w:tcBorders>
              <w:top w:val="single" w:sz="4" w:space="0" w:color="000080"/>
              <w:left w:val="single" w:sz="4" w:space="0" w:color="000080"/>
              <w:bottom w:val="single" w:sz="4" w:space="0" w:color="000080"/>
              <w:right w:val="single" w:sz="4" w:space="0" w:color="000080"/>
            </w:tcBorders>
            <w:shd w:val="clear" w:color="auto" w:fill="FFFFFF"/>
          </w:tcPr>
          <w:p w14:paraId="2209A18C" w14:textId="77777777" w:rsidR="00EE295E" w:rsidRPr="00EE295E" w:rsidRDefault="00EE295E" w:rsidP="005172E4">
            <w:pPr>
              <w:tabs>
                <w:tab w:val="left" w:pos="777"/>
                <w:tab w:val="left" w:pos="851"/>
                <w:tab w:val="left" w:pos="957"/>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Реагування протягом шістнадцяти робочих годин</w:t>
            </w:r>
            <w:r w:rsidRPr="00EE295E">
              <w:rPr>
                <w:rFonts w:ascii="Times New Roman" w:hAnsi="Times New Roman" w:cs="Times New Roman"/>
                <w:shd w:val="clear" w:color="auto" w:fill="FFFFFF"/>
              </w:rPr>
              <w:br/>
              <w:t>з моменту отримання запиту.</w:t>
            </w:r>
          </w:p>
          <w:p w14:paraId="66874D6D" w14:textId="77777777" w:rsidR="00EE295E" w:rsidRPr="00EE295E" w:rsidRDefault="00EE295E" w:rsidP="005172E4">
            <w:pPr>
              <w:tabs>
                <w:tab w:val="left" w:pos="851"/>
                <w:tab w:val="left" w:pos="1050"/>
              </w:tabs>
              <w:ind w:left="57" w:right="57" w:firstLine="509"/>
              <w:jc w:val="both"/>
              <w:rPr>
                <w:rFonts w:ascii="Times New Roman" w:hAnsi="Times New Roman" w:cs="Times New Roman"/>
                <w:shd w:val="clear" w:color="auto" w:fill="FFFFFF"/>
              </w:rPr>
            </w:pPr>
            <w:r w:rsidRPr="00EE295E">
              <w:rPr>
                <w:rFonts w:ascii="Times New Roman" w:hAnsi="Times New Roman" w:cs="Times New Roman"/>
                <w:shd w:val="clear" w:color="auto" w:fill="FFFFFF"/>
              </w:rPr>
              <w:t>Виконання протягом вісімдесяти робочих годин з моменту отримання запиту.</w:t>
            </w:r>
          </w:p>
        </w:tc>
      </w:tr>
    </w:tbl>
    <w:p w14:paraId="234445A7" w14:textId="77777777" w:rsidR="00EE295E" w:rsidRPr="00EE295E" w:rsidRDefault="00EE295E" w:rsidP="00EE295E">
      <w:pPr>
        <w:pStyle w:val="3f3f3f3f3f3f3f3f3f3f3f1"/>
        <w:spacing w:after="0" w:line="240" w:lineRule="auto"/>
        <w:ind w:left="0" w:firstLine="567"/>
        <w:jc w:val="both"/>
        <w:rPr>
          <w:rFonts w:ascii="Times New Roman" w:eastAsia="Times New Roman" w:hAnsi="Times New Roman" w:cs="Times New Roman"/>
          <w:color w:val="auto"/>
          <w:kern w:val="0"/>
          <w:shd w:val="clear" w:color="auto" w:fill="FFFFFF"/>
          <w:lang w:val="uk-UA" w:eastAsia="en-US" w:bidi="ar-SA"/>
        </w:rPr>
      </w:pPr>
      <w:r w:rsidRPr="00EE295E">
        <w:rPr>
          <w:rFonts w:ascii="Times New Roman" w:eastAsia="Times New Roman" w:hAnsi="Times New Roman" w:cs="Times New Roman"/>
          <w:color w:val="auto"/>
          <w:kern w:val="0"/>
          <w:lang w:val="uk-UA" w:eastAsia="uk-UA" w:bidi="ar-SA"/>
        </w:rPr>
        <w:t>Виконавець забезпечує екстрений виїзд на майданчик Замовника для вирішення звернень з пріоритетом «Блокуючий»;</w:t>
      </w:r>
    </w:p>
    <w:p w14:paraId="0D30D08B" w14:textId="77777777" w:rsidR="00EE295E" w:rsidRPr="00EE295E" w:rsidRDefault="00EE295E" w:rsidP="00EE295E">
      <w:pPr>
        <w:pStyle w:val="a7"/>
        <w:widowControl w:val="0"/>
        <w:numPr>
          <w:ilvl w:val="1"/>
          <w:numId w:val="36"/>
        </w:numPr>
        <w:ind w:left="0" w:firstLine="567"/>
        <w:contextualSpacing/>
        <w:jc w:val="both"/>
        <w:rPr>
          <w:rFonts w:ascii="Times New Roman" w:hAnsi="Times New Roman"/>
          <w:sz w:val="22"/>
          <w:szCs w:val="22"/>
        </w:rPr>
      </w:pPr>
      <w:r w:rsidRPr="00EE295E">
        <w:rPr>
          <w:rFonts w:ascii="Times New Roman" w:hAnsi="Times New Roman"/>
          <w:sz w:val="22"/>
          <w:szCs w:val="22"/>
        </w:rPr>
        <w:t>Надати консультації адміністраторам АСАОД Замовника в режимі віддаленого спілкування (з використанням телефону, електронної пошти) з питань експлуатації та можливостей апаратно-програмної платформи;</w:t>
      </w:r>
    </w:p>
    <w:p w14:paraId="24BD12CE" w14:textId="77777777" w:rsidR="00EE295E" w:rsidRPr="00EE295E" w:rsidRDefault="00EE295E" w:rsidP="00EE295E">
      <w:pPr>
        <w:pStyle w:val="a7"/>
        <w:widowControl w:val="0"/>
        <w:numPr>
          <w:ilvl w:val="1"/>
          <w:numId w:val="36"/>
        </w:numPr>
        <w:ind w:left="0" w:firstLine="567"/>
        <w:contextualSpacing/>
        <w:jc w:val="both"/>
        <w:rPr>
          <w:rFonts w:ascii="Times New Roman" w:hAnsi="Times New Roman"/>
          <w:sz w:val="22"/>
          <w:szCs w:val="22"/>
        </w:rPr>
      </w:pPr>
      <w:r w:rsidRPr="00EE295E">
        <w:rPr>
          <w:rFonts w:ascii="Times New Roman" w:hAnsi="Times New Roman"/>
          <w:sz w:val="22"/>
          <w:szCs w:val="22"/>
        </w:rPr>
        <w:t>Виконувати запити уповноважених осіб Держмитслужби на конфігурацію, доопрацювання (адаптацію) функціоналу АСАОД або розробку звітних форм в межах погодженої трудомісткості надання послуг. Виконавець проводить оцінку робіт та погоджує їх виконання з уповноваженою особою Держмитслужби відповідно до запитів, що містять малюнки форм з описом правил розрахунку виведеної інформації; покроковий опис алгоритмів і формул розрахунку показників.</w:t>
      </w:r>
    </w:p>
    <w:p w14:paraId="0487260E" w14:textId="77777777" w:rsidR="00EE295E" w:rsidRPr="00EE295E" w:rsidRDefault="00EE295E" w:rsidP="00EE295E">
      <w:pPr>
        <w:pStyle w:val="a7"/>
        <w:widowControl w:val="0"/>
        <w:numPr>
          <w:ilvl w:val="0"/>
          <w:numId w:val="36"/>
        </w:numPr>
        <w:tabs>
          <w:tab w:val="left" w:pos="1134"/>
        </w:tabs>
        <w:ind w:left="0" w:firstLine="567"/>
        <w:contextualSpacing/>
        <w:jc w:val="both"/>
        <w:rPr>
          <w:rFonts w:ascii="Times New Roman" w:hAnsi="Times New Roman"/>
          <w:sz w:val="22"/>
          <w:szCs w:val="22"/>
        </w:rPr>
      </w:pPr>
      <w:r w:rsidRPr="00EE295E">
        <w:rPr>
          <w:rFonts w:ascii="Times New Roman" w:hAnsi="Times New Roman"/>
          <w:sz w:val="22"/>
          <w:szCs w:val="22"/>
        </w:rPr>
        <w:t>Якість послуг повинна відповідати вимогам, встановлених діючими в Україні національними стандартами, технічними умовами, нормативно-правовими актами, іншими нормативно-технічними документами, які встановлюють вимоги до показників якості такого роду/виду послуг, а також відповідно до умов Договору та Технічних вимог надання Послуг.</w:t>
      </w:r>
    </w:p>
    <w:p w14:paraId="4FCBA9EC" w14:textId="77777777" w:rsidR="00EE295E" w:rsidRPr="00EE295E" w:rsidRDefault="00EE295E" w:rsidP="00EE295E">
      <w:pPr>
        <w:pStyle w:val="a7"/>
        <w:widowControl w:val="0"/>
        <w:tabs>
          <w:tab w:val="left" w:pos="1134"/>
        </w:tabs>
        <w:ind w:left="0" w:firstLine="567"/>
        <w:jc w:val="both"/>
        <w:rPr>
          <w:rFonts w:ascii="Times New Roman" w:hAnsi="Times New Roman"/>
          <w:sz w:val="22"/>
          <w:szCs w:val="22"/>
        </w:rPr>
      </w:pPr>
      <w:r w:rsidRPr="00EE295E">
        <w:rPr>
          <w:rFonts w:ascii="Times New Roman" w:hAnsi="Times New Roman"/>
          <w:sz w:val="22"/>
          <w:szCs w:val="22"/>
        </w:rPr>
        <w:t>Якість пакетів оновлення програмного забезпечення (далі – програмне забезпечення), передача яких входить до складу послуг, повинна відповідати вимогам, що зазвичай пред’являються до даного виду продукції, та встановленим показникам якості відповідно до діючих в Україні національних стандартів (зокрема: ДСТУ ISO/IEC/IEEE 12207:2018 (ISO/IEC/IEEE 12207:2017, IDT) «Інженерія систем і програмних засобів. Процеси життєвого циклу програмних засобів»; ДСТУ ISO/IEC 14764:2014 «Інженерія програмного забезпечення. Процеси життєвого циклу програмного забезпечення. Технічне обслуговування» (ISO/IEC 14764:2006, IDT); ДСТУ ISO/IEC/IEEE 15288:2016 (ISO/IEC/IEEE 15288:2015, IDT) «Інженерія систем і програмного забезпечення. Процеси життєвого циклу систем»), технічних умов, нормативно-правових актів, інших нормативно-технічних документів, які встановлюють вимоги до показників якості такого роду/виду продукції, та повинна забезпечувати належне використання програмного забезпечення за його функціональним призначенням, а також відповідно до умов Договору та Технічних вимог надання Послуг.</w:t>
      </w:r>
    </w:p>
    <w:p w14:paraId="53429D79" w14:textId="77777777" w:rsidR="00EE295E" w:rsidRPr="00EE295E" w:rsidRDefault="00EE295E" w:rsidP="00EE295E">
      <w:pPr>
        <w:pStyle w:val="a7"/>
        <w:widowControl w:val="0"/>
        <w:numPr>
          <w:ilvl w:val="0"/>
          <w:numId w:val="36"/>
        </w:numPr>
        <w:tabs>
          <w:tab w:val="left" w:pos="1134"/>
        </w:tabs>
        <w:ind w:left="0" w:firstLine="567"/>
        <w:contextualSpacing/>
        <w:jc w:val="both"/>
        <w:rPr>
          <w:rFonts w:ascii="Times New Roman" w:hAnsi="Times New Roman"/>
          <w:sz w:val="22"/>
          <w:szCs w:val="22"/>
        </w:rPr>
      </w:pPr>
      <w:r w:rsidRPr="00EE295E">
        <w:rPr>
          <w:rFonts w:ascii="Times New Roman" w:hAnsi="Times New Roman"/>
          <w:sz w:val="22"/>
          <w:szCs w:val="22"/>
        </w:rPr>
        <w:t xml:space="preserve">Виконавець відповідає за всі недоліки/невідповідності програмного забезпечення, зокрема його неналежне функціонування, що виникли з вини Виконавця та які не могли бути виявлені Замовником під час приймання програмного забезпечення, але настали під час належного користування програмним забезпеченням та протягом гарантійного строку (гарантійний випадок). </w:t>
      </w:r>
    </w:p>
    <w:p w14:paraId="3DA00386" w14:textId="77777777" w:rsidR="00EE295E" w:rsidRPr="00EE295E" w:rsidRDefault="00EE295E" w:rsidP="00EE295E">
      <w:pPr>
        <w:pStyle w:val="a7"/>
        <w:widowControl w:val="0"/>
        <w:tabs>
          <w:tab w:val="left" w:pos="1134"/>
        </w:tabs>
        <w:ind w:left="0" w:firstLine="567"/>
        <w:jc w:val="both"/>
        <w:rPr>
          <w:rFonts w:ascii="Times New Roman" w:hAnsi="Times New Roman"/>
          <w:sz w:val="22"/>
          <w:szCs w:val="22"/>
        </w:rPr>
      </w:pPr>
      <w:r w:rsidRPr="00EE295E">
        <w:rPr>
          <w:rFonts w:ascii="Times New Roman" w:hAnsi="Times New Roman"/>
          <w:sz w:val="22"/>
          <w:szCs w:val="22"/>
        </w:rPr>
        <w:t xml:space="preserve">Гарантійний строк починається з дня підписання Сторонами </w:t>
      </w:r>
      <w:proofErr w:type="spellStart"/>
      <w:r w:rsidRPr="00EE295E">
        <w:rPr>
          <w:rFonts w:ascii="Times New Roman" w:hAnsi="Times New Roman"/>
          <w:sz w:val="22"/>
          <w:szCs w:val="22"/>
        </w:rPr>
        <w:t>Акта</w:t>
      </w:r>
      <w:proofErr w:type="spellEnd"/>
      <w:r w:rsidRPr="00EE295E">
        <w:rPr>
          <w:rFonts w:ascii="Times New Roman" w:hAnsi="Times New Roman"/>
          <w:sz w:val="22"/>
          <w:szCs w:val="22"/>
        </w:rPr>
        <w:t xml:space="preserve"> приймання-передачі Програмного забезпечення без зауважень та діє протягом 6 (шести) місяців.</w:t>
      </w:r>
    </w:p>
    <w:p w14:paraId="3EB3F9FB" w14:textId="77777777" w:rsidR="00EE295E" w:rsidRPr="00EE295E" w:rsidRDefault="00EE295E" w:rsidP="00EE295E">
      <w:pPr>
        <w:pStyle w:val="a7"/>
        <w:widowControl w:val="0"/>
        <w:tabs>
          <w:tab w:val="left" w:pos="1134"/>
        </w:tabs>
        <w:ind w:left="0" w:firstLine="567"/>
        <w:jc w:val="both"/>
        <w:rPr>
          <w:rFonts w:ascii="Times New Roman" w:hAnsi="Times New Roman"/>
          <w:sz w:val="22"/>
          <w:szCs w:val="22"/>
        </w:rPr>
      </w:pPr>
      <w:r w:rsidRPr="00EE295E">
        <w:rPr>
          <w:rFonts w:ascii="Times New Roman" w:hAnsi="Times New Roman"/>
          <w:sz w:val="22"/>
          <w:szCs w:val="22"/>
        </w:rPr>
        <w:t xml:space="preserve">Виконавець протягом гарантійного строку зобов’язаний: відслідковувати звернення уповноважених осіб Замовника (зокрема адміністраторів АСАОД) щодо усунення гарантійних випадків, що надійшли через електронний сервіс технічної підтримки та забезпечити зворотній зв’язок </w:t>
      </w:r>
      <w:r w:rsidRPr="00EE295E">
        <w:rPr>
          <w:rFonts w:ascii="Times New Roman" w:hAnsi="Times New Roman"/>
          <w:sz w:val="22"/>
          <w:szCs w:val="22"/>
        </w:rPr>
        <w:lastRenderedPageBreak/>
        <w:t>з уповноваженими особами Замовника (зокрема адміністраторами АСАОД); призначати відповідальних осіб за усунення гарантійних випадків; реагувати на звернення уповноважених осіб Замовника (зокрема адміністраторів АСАОД) щодо усунення гарантійних випадків і виправляти їх у строки, визначені у пункті 1.3 Технічних вимог надання Послуг.</w:t>
      </w:r>
    </w:p>
    <w:p w14:paraId="1989E4E8" w14:textId="77777777" w:rsidR="00EE295E" w:rsidRPr="00EE295E" w:rsidRDefault="00EE295E" w:rsidP="00EE295E">
      <w:pPr>
        <w:pStyle w:val="a7"/>
        <w:widowControl w:val="0"/>
        <w:numPr>
          <w:ilvl w:val="0"/>
          <w:numId w:val="36"/>
        </w:numPr>
        <w:tabs>
          <w:tab w:val="left" w:pos="1134"/>
        </w:tabs>
        <w:ind w:left="0" w:firstLine="567"/>
        <w:contextualSpacing/>
        <w:jc w:val="both"/>
        <w:rPr>
          <w:rFonts w:ascii="Times New Roman" w:hAnsi="Times New Roman"/>
          <w:sz w:val="22"/>
          <w:szCs w:val="22"/>
        </w:rPr>
      </w:pPr>
      <w:r w:rsidRPr="00EE295E">
        <w:rPr>
          <w:rFonts w:ascii="Times New Roman" w:hAnsi="Times New Roman"/>
          <w:sz w:val="22"/>
          <w:szCs w:val="22"/>
        </w:rPr>
        <w:t>Виконавець має право за погодженням із Замовником залучати до надання послуг третіх осіб.</w:t>
      </w:r>
    </w:p>
    <w:p w14:paraId="7F9A69BE" w14:textId="77777777" w:rsidR="00A52318" w:rsidRPr="00EE295E" w:rsidRDefault="00A52318" w:rsidP="00EE295E">
      <w:pPr>
        <w:widowControl w:val="0"/>
        <w:ind w:firstLine="360"/>
        <w:jc w:val="center"/>
        <w:rPr>
          <w:rFonts w:ascii="Times New Roman" w:hAnsi="Times New Roman" w:cs="Times New Roman"/>
        </w:rPr>
      </w:pPr>
    </w:p>
    <w:sectPr w:rsidR="00A52318" w:rsidRPr="00EE29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Lohit Devanagari">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B3114B"/>
    <w:multiLevelType w:val="multilevel"/>
    <w:tmpl w:val="52BED3D4"/>
    <w:lvl w:ilvl="0">
      <w:start w:val="1"/>
      <w:numFmt w:val="decimal"/>
      <w:lvlText w:val="%1."/>
      <w:lvlJc w:val="left"/>
      <w:pPr>
        <w:ind w:left="720" w:hanging="360"/>
      </w:pPr>
    </w:lvl>
    <w:lvl w:ilvl="1">
      <w:start w:val="1"/>
      <w:numFmt w:val="decimal"/>
      <w:lvlText w:val="%1.%2."/>
      <w:lvlJc w:val="left"/>
      <w:pPr>
        <w:ind w:left="1170" w:hanging="46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7E00BB"/>
    <w:multiLevelType w:val="hybridMultilevel"/>
    <w:tmpl w:val="659449FA"/>
    <w:lvl w:ilvl="0" w:tplc="D03E6F04">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4"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6"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438F7B09"/>
    <w:multiLevelType w:val="multilevel"/>
    <w:tmpl w:val="D6A4DE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6"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8"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5"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4"/>
  </w:num>
  <w:num w:numId="2">
    <w:abstractNumId w:val="30"/>
  </w:num>
  <w:num w:numId="3">
    <w:abstractNumId w:val="13"/>
  </w:num>
  <w:num w:numId="4">
    <w:abstractNumId w:val="1"/>
  </w:num>
  <w:num w:numId="5">
    <w:abstractNumId w:val="33"/>
  </w:num>
  <w:num w:numId="6">
    <w:abstractNumId w:val="9"/>
  </w:num>
  <w:num w:numId="7">
    <w:abstractNumId w:val="15"/>
  </w:num>
  <w:num w:numId="8">
    <w:abstractNumId w:val="5"/>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7"/>
  </w:num>
  <w:num w:numId="13">
    <w:abstractNumId w:val="29"/>
  </w:num>
  <w:num w:numId="14">
    <w:abstractNumId w:val="28"/>
  </w:num>
  <w:num w:numId="15">
    <w:abstractNumId w:val="20"/>
  </w:num>
  <w:num w:numId="16">
    <w:abstractNumId w:val="3"/>
  </w:num>
  <w:num w:numId="17">
    <w:abstractNumId w:val="8"/>
  </w:num>
  <w:num w:numId="18">
    <w:abstractNumId w:val="31"/>
  </w:num>
  <w:num w:numId="19">
    <w:abstractNumId w:val="21"/>
  </w:num>
  <w:num w:numId="20">
    <w:abstractNumId w:val="32"/>
  </w:num>
  <w:num w:numId="21">
    <w:abstractNumId w:val="35"/>
  </w:num>
  <w:num w:numId="22">
    <w:abstractNumId w:val="16"/>
  </w:num>
  <w:num w:numId="23">
    <w:abstractNumId w:val="10"/>
  </w:num>
  <w:num w:numId="24">
    <w:abstractNumId w:val="19"/>
  </w:num>
  <w:num w:numId="25">
    <w:abstractNumId w:val="24"/>
  </w:num>
  <w:num w:numId="26">
    <w:abstractNumId w:val="2"/>
  </w:num>
  <w:num w:numId="27">
    <w:abstractNumId w:val="18"/>
  </w:num>
  <w:num w:numId="28">
    <w:abstractNumId w:val="23"/>
  </w:num>
  <w:num w:numId="29">
    <w:abstractNumId w:val="4"/>
  </w:num>
  <w:num w:numId="30">
    <w:abstractNumId w:val="14"/>
  </w:num>
  <w:num w:numId="31">
    <w:abstractNumId w:val="25"/>
  </w:num>
  <w:num w:numId="32">
    <w:abstractNumId w:val="27"/>
  </w:num>
  <w:num w:numId="33">
    <w:abstractNumId w:val="7"/>
  </w:num>
  <w:num w:numId="34">
    <w:abstractNumId w:val="11"/>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87F69"/>
    <w:rsid w:val="002B72AC"/>
    <w:rsid w:val="003D293D"/>
    <w:rsid w:val="00445877"/>
    <w:rsid w:val="004A33E4"/>
    <w:rsid w:val="00634511"/>
    <w:rsid w:val="00765101"/>
    <w:rsid w:val="007E6D2F"/>
    <w:rsid w:val="00A335CB"/>
    <w:rsid w:val="00A52318"/>
    <w:rsid w:val="00B8113A"/>
    <w:rsid w:val="00B83B74"/>
    <w:rsid w:val="00D626B8"/>
    <w:rsid w:val="00EE2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paragraph" w:customStyle="1" w:styleId="3f3f3f3f3f3f3f3f3f3f3f3f3f1">
    <w:name w:val="О3fс3fн3fо3fв3fн3fи3fй3f т3fе3fк3fс3fт3f1"/>
    <w:basedOn w:val="a1"/>
    <w:qFormat/>
    <w:rsid w:val="00EE295E"/>
    <w:pPr>
      <w:widowControl w:val="0"/>
      <w:suppressAutoHyphens/>
      <w:spacing w:after="120" w:line="240" w:lineRule="auto"/>
      <w:jc w:val="both"/>
    </w:pPr>
    <w:rPr>
      <w:rFonts w:ascii="Liberation Serif" w:eastAsia="Noto Serif CJK SC" w:hAnsi="Liberation Serif" w:cs="Lohit Devanagari"/>
      <w:color w:val="00000A"/>
      <w:kern w:val="2"/>
      <w:lang w:val="en-US" w:eastAsia="zh-CN" w:bidi="hi-IN"/>
    </w:rPr>
  </w:style>
  <w:style w:type="paragraph" w:customStyle="1" w:styleId="3f3f3f3f3f3f3f3f3f3f3f1">
    <w:name w:val="А3fб3fз3fа3fц3f с3fп3fи3fс3fк3fа3f1"/>
    <w:basedOn w:val="a1"/>
    <w:qFormat/>
    <w:rsid w:val="00EE295E"/>
    <w:pPr>
      <w:suppressAutoHyphens/>
      <w:spacing w:line="252" w:lineRule="auto"/>
      <w:ind w:left="720"/>
    </w:pPr>
    <w:rPr>
      <w:rFonts w:ascii="Calibri" w:eastAsia="Noto Serif CJK SC" w:hAnsi="Calibri" w:cs="Calibri"/>
      <w:color w:val="00000A"/>
      <w:kern w:val="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6694</Words>
  <Characters>3816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16</cp:revision>
  <dcterms:created xsi:type="dcterms:W3CDTF">2021-03-31T12:56:00Z</dcterms:created>
  <dcterms:modified xsi:type="dcterms:W3CDTF">2023-03-31T08:36:00Z</dcterms:modified>
</cp:coreProperties>
</file>