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1D584E7E" w:rsidR="002B72AC" w:rsidRPr="00B426B2" w:rsidRDefault="002B72AC" w:rsidP="00D04ACC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Cs/>
        </w:rPr>
      </w:pPr>
      <w:r w:rsidRPr="00985C77">
        <w:rPr>
          <w:bCs/>
        </w:rPr>
        <w:t xml:space="preserve">технічних та якісних характеристик </w:t>
      </w:r>
      <w:r w:rsidRPr="00985C77">
        <w:rPr>
          <w:b/>
          <w:bCs/>
        </w:rPr>
        <w:t xml:space="preserve">закупівлі </w:t>
      </w:r>
      <w:r w:rsidR="00D04ACC" w:rsidRPr="00B32DD5">
        <w:rPr>
          <w:color w:val="000000"/>
        </w:rPr>
        <w:t>ДК 021:2015 72410000-7 Послуги провайдерів</w:t>
      </w:r>
      <w:r w:rsidR="00D04ACC" w:rsidRPr="00B32DD5">
        <w:rPr>
          <w:color w:val="000000"/>
          <w:lang w:val="ru-RU"/>
        </w:rPr>
        <w:t xml:space="preserve"> </w:t>
      </w:r>
      <w:r w:rsidR="00D04ACC" w:rsidRPr="00B32DD5">
        <w:rPr>
          <w:color w:val="000000"/>
        </w:rPr>
        <w:t>«</w:t>
      </w:r>
      <w:r w:rsidR="00D04ACC" w:rsidRPr="00B32DD5">
        <w:rPr>
          <w:bCs/>
        </w:rPr>
        <w:t>Послуги за підключення та користування мережею інтернет»</w:t>
      </w:r>
      <w:r w:rsidR="00D04ACC" w:rsidRPr="00D04ACC">
        <w:rPr>
          <w:bCs/>
          <w:lang w:val="ru-RU"/>
        </w:rPr>
        <w:t xml:space="preserve"> </w:t>
      </w:r>
      <w:r w:rsidR="00D04ACC" w:rsidRPr="00B426B2">
        <w:rPr>
          <w:rStyle w:val="a4"/>
          <w:bCs/>
        </w:rPr>
        <w:t xml:space="preserve"> </w:t>
      </w:r>
      <w:r w:rsidRPr="00B426B2">
        <w:rPr>
          <w:rStyle w:val="a4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991F3E" w14:textId="6092E034" w:rsidR="007864C0" w:rsidRPr="00B32DD5" w:rsidRDefault="002B72AC" w:rsidP="007864C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7F3D00">
        <w:rPr>
          <w:b/>
          <w:bCs/>
          <w:iCs/>
          <w:color w:val="000000"/>
          <w:u w:val="single"/>
        </w:rPr>
        <w:t xml:space="preserve">Назва предмета закупівлі </w:t>
      </w:r>
      <w:r w:rsidRPr="007F3D00">
        <w:rPr>
          <w:b/>
          <w:color w:val="000000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t xml:space="preserve"> </w:t>
      </w:r>
      <w:r w:rsidR="007864C0" w:rsidRPr="00B32DD5">
        <w:rPr>
          <w:color w:val="000000"/>
        </w:rPr>
        <w:t>ДК 021:2015 72410000-7 Послуги провайдерів</w:t>
      </w:r>
      <w:r w:rsidR="007864C0" w:rsidRPr="00B32DD5">
        <w:rPr>
          <w:color w:val="000000"/>
          <w:lang w:val="ru-RU"/>
        </w:rPr>
        <w:t xml:space="preserve"> </w:t>
      </w:r>
      <w:r w:rsidR="007864C0" w:rsidRPr="00B32DD5">
        <w:rPr>
          <w:color w:val="000000"/>
        </w:rPr>
        <w:t>«</w:t>
      </w:r>
      <w:r w:rsidR="007864C0" w:rsidRPr="00B32DD5">
        <w:rPr>
          <w:bCs/>
        </w:rPr>
        <w:t>Послуги за підключення та користування мережею інтернет»</w:t>
      </w:r>
    </w:p>
    <w:p w14:paraId="42871908" w14:textId="78B03777" w:rsidR="00FA4BBA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CCA97" w14:textId="77777777" w:rsidR="007864C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E717" w14:textId="75593226" w:rsidR="002B72AC" w:rsidRPr="005A14F4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EA5CE1">
        <w:rPr>
          <w:rFonts w:ascii="Times New Roman" w:hAnsi="Times New Roman" w:cs="Times New Roman"/>
          <w:sz w:val="24"/>
          <w:szCs w:val="24"/>
        </w:rPr>
        <w:t xml:space="preserve">звіт про договір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="00EA5CE1">
        <w:rPr>
          <w:rFonts w:ascii="Times New Roman" w:hAnsi="Times New Roman" w:cs="Times New Roman"/>
          <w:sz w:val="24"/>
          <w:szCs w:val="24"/>
        </w:rPr>
        <w:t xml:space="preserve"> підпункту 6 пункту 13 Особливостей</w:t>
      </w:r>
      <w:r w:rsidR="007F3D00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EA5CE1">
        <w:rPr>
          <w:rFonts w:ascii="Times New Roman" w:hAnsi="Times New Roman" w:cs="Times New Roman"/>
          <w:sz w:val="24"/>
          <w:szCs w:val="24"/>
        </w:rPr>
        <w:t xml:space="preserve">здійснення публічних </w:t>
      </w:r>
      <w:r w:rsidR="007F3D00" w:rsidRPr="007F3D00">
        <w:rPr>
          <w:rFonts w:ascii="Times New Roman" w:hAnsi="Times New Roman" w:cs="Times New Roman"/>
          <w:sz w:val="24"/>
          <w:szCs w:val="24"/>
        </w:rPr>
        <w:t>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 w:rsidR="00EA5CE1">
        <w:rPr>
          <w:rFonts w:ascii="Times New Roman" w:hAnsi="Times New Roman" w:cs="Times New Roman"/>
          <w:sz w:val="24"/>
          <w:szCs w:val="24"/>
        </w:rPr>
        <w:t>, затверджених постановою Кабміну від 12.10.2022 №1178</w:t>
      </w:r>
      <w:r w:rsidR="007F3D00" w:rsidRPr="007F3D00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A14F4" w:rsidRPr="005A14F4">
        <w:rPr>
          <w:rFonts w:ascii="Times New Roman" w:hAnsi="Times New Roman" w:cs="Times New Roman"/>
          <w:b/>
          <w:sz w:val="24"/>
          <w:szCs w:val="24"/>
        </w:rPr>
        <w:t>UA-2023-03-15-000552-a</w:t>
      </w: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37AC5333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0478E4">
        <w:rPr>
          <w:rFonts w:ascii="Times New Roman" w:hAnsi="Times New Roman" w:cs="Times New Roman"/>
          <w:sz w:val="24"/>
          <w:szCs w:val="24"/>
        </w:rPr>
        <w:t>7902</w:t>
      </w:r>
      <w:r w:rsidR="007864C0">
        <w:rPr>
          <w:rFonts w:ascii="Times New Roman" w:hAnsi="Times New Roman" w:cs="Times New Roman"/>
          <w:sz w:val="24"/>
          <w:szCs w:val="24"/>
        </w:rPr>
        <w:t xml:space="preserve"> грн</w:t>
      </w:r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0A9664B3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8E4">
        <w:rPr>
          <w:rFonts w:ascii="Times New Roman" w:hAnsi="Times New Roman" w:cs="Times New Roman"/>
          <w:b/>
          <w:sz w:val="24"/>
          <w:szCs w:val="24"/>
        </w:rPr>
        <w:t>7902</w:t>
      </w:r>
      <w:r w:rsidR="007864C0">
        <w:rPr>
          <w:rFonts w:ascii="Times New Roman" w:hAnsi="Times New Roman" w:cs="Times New Roman"/>
          <w:b/>
          <w:sz w:val="24"/>
          <w:szCs w:val="24"/>
        </w:rPr>
        <w:t>,00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7864C0">
        <w:rPr>
          <w:rFonts w:ascii="Times New Roman" w:hAnsi="Times New Roman" w:cs="Times New Roman"/>
          <w:bCs/>
          <w:sz w:val="24"/>
          <w:szCs w:val="24"/>
        </w:rPr>
        <w:t xml:space="preserve">послуг по підключенню </w:t>
      </w:r>
      <w:r w:rsidR="000478E4">
        <w:rPr>
          <w:rFonts w:ascii="Times New Roman" w:hAnsi="Times New Roman" w:cs="Times New Roman"/>
          <w:bCs/>
          <w:sz w:val="24"/>
          <w:szCs w:val="24"/>
        </w:rPr>
        <w:t>Інтернету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961E2F" w14:textId="77777777" w:rsidR="007864C0" w:rsidRPr="005C18AA" w:rsidRDefault="007864C0" w:rsidP="007864C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510A9CC" w14:textId="77777777" w:rsidR="007864C0" w:rsidRPr="005C18AA" w:rsidRDefault="007864C0" w:rsidP="007864C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B4EBDD8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 xml:space="preserve">1. Загальні Технічні характеристики та </w:t>
      </w:r>
      <w:r w:rsidRPr="00E73AF0">
        <w:rPr>
          <w:rFonts w:ascii="Times New Roman" w:hAnsi="Times New Roman"/>
          <w:b/>
          <w:bCs/>
          <w:kern w:val="2"/>
        </w:rPr>
        <w:t>вимоги до послуг</w:t>
      </w:r>
    </w:p>
    <w:p w14:paraId="06D5CCEE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1.1.</w:t>
      </w:r>
      <w:r w:rsidRPr="00E73AF0">
        <w:rPr>
          <w:rFonts w:ascii="Times New Roman" w:eastAsia="Arial Unicode MS" w:hAnsi="Times New Roman"/>
          <w:kern w:val="2"/>
        </w:rPr>
        <w:t xml:space="preserve"> Телекомунікаційні послуги для надання доступу до всесвітньої мережі Інтернет (далі – Послуги) надаються відпов</w:t>
      </w:r>
      <w:r>
        <w:rPr>
          <w:rFonts w:ascii="Times New Roman" w:eastAsia="Arial Unicode MS" w:hAnsi="Times New Roman"/>
          <w:kern w:val="2"/>
        </w:rPr>
        <w:t xml:space="preserve">ідно до Закону України «Про електронні </w:t>
      </w:r>
      <w:r w:rsidRPr="00E73AF0">
        <w:rPr>
          <w:rFonts w:ascii="Times New Roman" w:eastAsia="Arial Unicode MS" w:hAnsi="Times New Roman"/>
          <w:kern w:val="2"/>
        </w:rPr>
        <w:t>комунікації», Правил надання та отримання телекомунікаційних послуг, затверджених постановою Кабінету Міністрів України від 11.04.2012 № 295,</w:t>
      </w:r>
      <w:r w:rsidRPr="00E73AF0">
        <w:rPr>
          <w:rFonts w:ascii="Times New Roman" w:hAnsi="Times New Roman"/>
        </w:rPr>
        <w:t xml:space="preserve"> </w:t>
      </w:r>
      <w:hyperlink r:id="rId5" w:history="1">
        <w:r w:rsidRPr="00E73AF0">
          <w:rPr>
            <w:rStyle w:val="ac"/>
            <w:rFonts w:ascii="Times New Roman" w:hAnsi="Times New Roman"/>
          </w:rPr>
          <w:t>рішення РНБО від 10 липня 2017 року «Про стан виконання рішення Ради національної безпеки і оборони України від 29 грудня 2016 року «Про загрози </w:t>
        </w:r>
        <w:proofErr w:type="spellStart"/>
        <w:r w:rsidRPr="00E73AF0">
          <w:rPr>
            <w:rStyle w:val="spelle"/>
            <w:rFonts w:ascii="Times New Roman" w:hAnsi="Times New Roman"/>
            <w:shd w:val="clear" w:color="auto" w:fill="FFFFFF"/>
          </w:rPr>
          <w:t>кібербезпеці</w:t>
        </w:r>
        <w:proofErr w:type="spellEnd"/>
        <w:r w:rsidRPr="00E73AF0">
          <w:rPr>
            <w:rStyle w:val="ac"/>
            <w:rFonts w:ascii="Times New Roman" w:hAnsi="Times New Roman"/>
          </w:rPr>
          <w:t> держави та невідкладні заходи з їх нейтралізації», веденого в дію Указом Президента України від 13 лютого 2017 року № 32», веденого в дію Указом Президента України від 30 серпня 2017 року № 254/2017</w:t>
        </w:r>
      </w:hyperlink>
      <w:r w:rsidRPr="00E73AF0">
        <w:rPr>
          <w:rFonts w:ascii="Times New Roman" w:eastAsia="Arial Unicode MS" w:hAnsi="Times New Roman"/>
          <w:kern w:val="2"/>
        </w:rPr>
        <w:t xml:space="preserve"> та інших нормативно-правових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мережі.</w:t>
      </w:r>
    </w:p>
    <w:p w14:paraId="5323888C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Під організацією підключення Інтернету слід розуміти наступні дії:</w:t>
      </w:r>
    </w:p>
    <w:p w14:paraId="153A44A5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1.1.1.Надання Учасником в користування Замовнику побудованих Учасником або існуючих у Учасника каналів;</w:t>
      </w:r>
    </w:p>
    <w:p w14:paraId="776822FD" w14:textId="77777777" w:rsidR="007864C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Arial Unicode MS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1.1.2. Учасник повинен забезпечити підключення до мережі Інтернет на вказаній швидкості об’єктів Замовника не пізніше однієї доби з моменту підписання Договору;</w:t>
      </w:r>
    </w:p>
    <w:p w14:paraId="711334D3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>
        <w:rPr>
          <w:rFonts w:ascii="Times New Roman" w:eastAsia="Arial Unicode MS" w:hAnsi="Times New Roman"/>
          <w:kern w:val="2"/>
        </w:rPr>
        <w:t>1.1.3. Усі витрати для надання послуги (у т. ч. прокладення каналу зв</w:t>
      </w:r>
      <w:r w:rsidRPr="00E73AF0">
        <w:rPr>
          <w:rFonts w:ascii="Times New Roman" w:eastAsia="Arial Unicode MS" w:hAnsi="Times New Roman"/>
          <w:kern w:val="2"/>
        </w:rPr>
        <w:t>’</w:t>
      </w:r>
      <w:r>
        <w:rPr>
          <w:rFonts w:ascii="Times New Roman" w:eastAsia="Arial Unicode MS" w:hAnsi="Times New Roman"/>
          <w:kern w:val="2"/>
        </w:rPr>
        <w:t xml:space="preserve">язку, встановлення та налаштування мережевого обладнання, тощо) Учасник несе за власний рахунок , та в строки, які забезпечать безперебійне отримання послуг Замовником.   </w:t>
      </w:r>
    </w:p>
    <w:p w14:paraId="08DE78AB" w14:textId="77777777" w:rsidR="007864C0" w:rsidRPr="00E73AF0" w:rsidRDefault="007864C0" w:rsidP="007864C0">
      <w:pPr>
        <w:widowControl w:val="0"/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1.2. Зона відповідальності Учасника при наданні Послуг – до інтерфейсу локального мережевого обладнання у кожному з вузлів Замовника. Відповідно, все обладнання, включаючи кабелі до </w:t>
      </w:r>
      <w:r w:rsidRPr="00E73AF0">
        <w:rPr>
          <w:rFonts w:ascii="Times New Roman" w:eastAsia="Arial Unicode MS" w:hAnsi="Times New Roman"/>
          <w:kern w:val="2"/>
        </w:rPr>
        <w:lastRenderedPageBreak/>
        <w:t>інтерфейсу локального мережевого обладнання вузлів мережі, надається, встановлюється та налагоджується Учасником в рамках надання Послуг.</w:t>
      </w:r>
    </w:p>
    <w:p w14:paraId="59C7EEE4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>1.3. Організація надання Послуг передбачає можливість збільшення пропускної здатності каналів доступу до Інтернет, в залежності від потреб Замовника.</w:t>
      </w:r>
    </w:p>
    <w:p w14:paraId="66249890" w14:textId="77777777" w:rsidR="007864C0" w:rsidRPr="00E73AF0" w:rsidRDefault="007864C0" w:rsidP="007864C0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eastAsia="Arial Unicode MS" w:hAnsi="Times New Roman"/>
          <w:kern w:val="2"/>
        </w:rPr>
        <w:t xml:space="preserve">1.4. </w:t>
      </w:r>
      <w:r w:rsidRPr="00E73AF0">
        <w:rPr>
          <w:rFonts w:ascii="Times New Roman" w:hAnsi="Times New Roman"/>
          <w:kern w:val="2"/>
        </w:rPr>
        <w:t>Технічні характеристики послуг, що Замовник очікує отримати, мають відповідати наступним вимогам:</w:t>
      </w:r>
    </w:p>
    <w:p w14:paraId="24FDB032" w14:textId="77777777" w:rsidR="007864C0" w:rsidRPr="00E73AF0" w:rsidRDefault="007864C0" w:rsidP="007864C0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1.4.1. Послуга щодо </w:t>
      </w:r>
      <w:r w:rsidRPr="00E73AF0">
        <w:rPr>
          <w:rFonts w:ascii="Times New Roman" w:eastAsia="Arial Unicode MS" w:hAnsi="Times New Roman"/>
          <w:kern w:val="2"/>
        </w:rPr>
        <w:t xml:space="preserve">доступу до всесвітньої мережі Інтернет </w:t>
      </w:r>
      <w:r w:rsidRPr="00E73AF0">
        <w:rPr>
          <w:rFonts w:ascii="Times New Roman" w:hAnsi="Times New Roman"/>
          <w:kern w:val="2"/>
        </w:rPr>
        <w:t>включає в себе обслуговування цифрових каналів волоконно-оптичних/мідних ліній зв'язку (Таблиця 1 та Таблиця 2 до цього Додатку).</w:t>
      </w:r>
    </w:p>
    <w:p w14:paraId="335D2683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1.4.2.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гарантує технічну підтримку цифрових каналів відповідно до розділу 3 цього Технічного завдання. Технічна підтримка має включати в себе також відновлення працездатності каналу в разі необхідності.</w:t>
      </w:r>
    </w:p>
    <w:p w14:paraId="179B39D9" w14:textId="77777777" w:rsidR="007864C0" w:rsidRPr="00E73AF0" w:rsidRDefault="007864C0" w:rsidP="007864C0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1.5. Максимальний термін усунення аварійної недоступності послуг не повинен перевищувати: 8 годин – логічний рівень; 48 годин – фізичний</w:t>
      </w:r>
      <w:r w:rsidRPr="00E73AF0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E73AF0">
        <w:rPr>
          <w:rFonts w:ascii="Times New Roman" w:hAnsi="Times New Roman"/>
          <w:kern w:val="2"/>
        </w:rPr>
        <w:t>рівень.</w:t>
      </w:r>
    </w:p>
    <w:p w14:paraId="3906ED89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</w:t>
      </w:r>
      <w:r w:rsidRPr="00E73AF0">
        <w:rPr>
          <w:rFonts w:ascii="Times New Roman" w:eastAsia="Arial Unicode MS" w:hAnsi="Times New Roman"/>
          <w:kern w:val="2"/>
        </w:rPr>
        <w:t>1.6.  Учасник</w:t>
      </w:r>
      <w:r w:rsidRPr="00E73AF0">
        <w:rPr>
          <w:rFonts w:ascii="Times New Roman" w:hAnsi="Times New Roman"/>
          <w:kern w:val="2"/>
        </w:rPr>
        <w:t xml:space="preserve"> забезпечує взаємодію з мережею Інтернет з використанням адрес IPv4.</w:t>
      </w:r>
    </w:p>
    <w:p w14:paraId="59D360FB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     1.7.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забезпечує підготовку каналу та підключення без сплати Замовником додаткових коштів і потреби купувати додаткове обладнання.</w:t>
      </w:r>
    </w:p>
    <w:p w14:paraId="1D3C7093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kern w:val="2"/>
        </w:rPr>
        <w:t xml:space="preserve">1.8. </w:t>
      </w:r>
      <w:r w:rsidRPr="00E73AF0">
        <w:rPr>
          <w:rFonts w:ascii="Times New Roman" w:hAnsi="Times New Roman"/>
          <w:bCs/>
        </w:rPr>
        <w:t>Забезпечення послуг доступу до мереж та ресурсів поза точкою обміну українським трафіком UA-IX без обмеження трафіку із швидкістю не менше ніж вимоги наведені в Таблиці 2.</w:t>
      </w:r>
    </w:p>
    <w:p w14:paraId="32B786C1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1.9. Забезпечення послуг доступу до мережі та ресурсів підключених до точки обміну українським трафіком UA-IX без обмеження трафіку із швидкістю не менше ніж вимоги наведені в Таблиці 2.</w:t>
      </w:r>
    </w:p>
    <w:p w14:paraId="45B95B4D" w14:textId="77777777" w:rsidR="007864C0" w:rsidRPr="00E73AF0" w:rsidRDefault="007864C0" w:rsidP="007864C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1.10. Наявність власного оптоволоконного/мідного каналу зв’язку між магістральним мережним комутаційним обладнанням Замовника і Учасника.</w:t>
      </w:r>
    </w:p>
    <w:p w14:paraId="72F073DC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1.11. 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лімітований.</w:t>
      </w:r>
    </w:p>
    <w:p w14:paraId="0D99A56D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 xml:space="preserve">1.12. Затримка передачі даних з серверів Інтернет, розташованих в Європі та США, виміряна за допомогою утиліт </w:t>
      </w:r>
      <w:proofErr w:type="spellStart"/>
      <w:r w:rsidRPr="00E73AF0">
        <w:rPr>
          <w:rFonts w:ascii="Times New Roman" w:hAnsi="Times New Roman"/>
          <w:bCs/>
        </w:rPr>
        <w:t>traceroute</w:t>
      </w:r>
      <w:proofErr w:type="spellEnd"/>
      <w:r w:rsidRPr="00E73AF0">
        <w:rPr>
          <w:rFonts w:ascii="Times New Roman" w:hAnsi="Times New Roman"/>
          <w:bCs/>
        </w:rPr>
        <w:t xml:space="preserve"> або </w:t>
      </w:r>
      <w:proofErr w:type="spellStart"/>
      <w:r w:rsidRPr="00E73AF0">
        <w:rPr>
          <w:rFonts w:ascii="Times New Roman" w:hAnsi="Times New Roman"/>
          <w:bCs/>
        </w:rPr>
        <w:t>ping</w:t>
      </w:r>
      <w:proofErr w:type="spellEnd"/>
      <w:r w:rsidRPr="00E73AF0">
        <w:rPr>
          <w:rFonts w:ascii="Times New Roman" w:hAnsi="Times New Roman"/>
          <w:bCs/>
        </w:rPr>
        <w:t xml:space="preserve">, не більш ніж 250 </w:t>
      </w:r>
      <w:proofErr w:type="spellStart"/>
      <w:r w:rsidRPr="00E73AF0">
        <w:rPr>
          <w:rFonts w:ascii="Times New Roman" w:hAnsi="Times New Roman"/>
          <w:bCs/>
        </w:rPr>
        <w:t>мілісекунд</w:t>
      </w:r>
      <w:proofErr w:type="spellEnd"/>
      <w:r w:rsidRPr="00E73AF0">
        <w:rPr>
          <w:rFonts w:ascii="Times New Roman" w:hAnsi="Times New Roman"/>
          <w:bCs/>
        </w:rPr>
        <w:t xml:space="preserve"> для не менш ніж 95% тестових пакетів.</w:t>
      </w:r>
    </w:p>
    <w:p w14:paraId="5A6C0CA8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1.13. Наявність власного високошвидкісного підключення до вузла Українського обміну трафіком UA-IX.</w:t>
      </w:r>
    </w:p>
    <w:p w14:paraId="7E2E5C7F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1.14</w:t>
      </w:r>
      <w:r w:rsidRPr="00E73AF0">
        <w:rPr>
          <w:rFonts w:ascii="Times New Roman" w:hAnsi="Times New Roman"/>
          <w:bCs/>
        </w:rPr>
        <w:t>. Наявність кваліфікованої цілодобової технічної підтримки та моніторингу.</w:t>
      </w:r>
    </w:p>
    <w:p w14:paraId="539F81AD" w14:textId="77777777" w:rsidR="007864C0" w:rsidRPr="00E73AF0" w:rsidRDefault="007864C0" w:rsidP="007864C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1.18. Схема підключення – по оптичному/мідному каналу зв`язку.</w:t>
      </w:r>
    </w:p>
    <w:p w14:paraId="293EA855" w14:textId="77777777" w:rsidR="007864C0" w:rsidRPr="00E73AF0" w:rsidRDefault="007864C0" w:rsidP="007864C0">
      <w:pPr>
        <w:spacing w:after="0" w:line="240" w:lineRule="auto"/>
        <w:ind w:firstLine="284"/>
        <w:rPr>
          <w:rFonts w:ascii="Times New Roman" w:hAnsi="Times New Roman"/>
          <w:bCs/>
        </w:rPr>
      </w:pPr>
      <w:r w:rsidRPr="00E73AF0">
        <w:rPr>
          <w:rFonts w:ascii="Times New Roman" w:hAnsi="Times New Roman"/>
          <w:bCs/>
        </w:rPr>
        <w:t>1.19. Учасник має бути включений до Реєстру операторів, провайдерів телекомунікацій.</w:t>
      </w:r>
    </w:p>
    <w:p w14:paraId="63CCA097" w14:textId="77777777" w:rsidR="007864C0" w:rsidRPr="00E73AF0" w:rsidRDefault="007864C0" w:rsidP="007864C0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E73AF0">
        <w:rPr>
          <w:rFonts w:ascii="Times New Roman" w:hAnsi="Times New Roman"/>
        </w:rPr>
        <w:t>1.20. Зміст тендерної пропозиції учасника не повинен суперечити пункту 10 частини першої статті 4 Закону України «Про санкції» щодо заборони здійснення державних закупівель товарів, робіт і послуг у юридичних осіб-резидентів іноземної держави державної форми власності та юридичних осіб, частка статутного капіталу яких знаходиться у власності іноземної держави, а також державних закупівель у інших суб’єктів господарювання, що здійснюють продаж товарів, робіт, послуг походженням з іноземної держави, до якої застосовано санкції згідно з цим Законом, та іншому чинному українському законодавству, що містить обмеження ввезення товарів на митну територію України.</w:t>
      </w:r>
    </w:p>
    <w:p w14:paraId="3C39A748" w14:textId="77777777" w:rsidR="007864C0" w:rsidRDefault="007864C0" w:rsidP="007864C0">
      <w:pPr>
        <w:spacing w:after="0" w:line="240" w:lineRule="auto"/>
        <w:ind w:firstLine="284"/>
        <w:rPr>
          <w:rFonts w:ascii="Times New Roman" w:hAnsi="Times New Roman"/>
          <w:bCs/>
          <w:sz w:val="16"/>
          <w:szCs w:val="16"/>
        </w:rPr>
      </w:pPr>
    </w:p>
    <w:p w14:paraId="0AD35A9D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Адреса підключен</w:t>
      </w:r>
      <w:r w:rsidRPr="00E73AF0">
        <w:rPr>
          <w:rFonts w:ascii="Times New Roman" w:hAnsi="Times New Roman"/>
          <w:b/>
          <w:bCs/>
        </w:rPr>
        <w:t>ня надання доступу до мережі Інтернет</w:t>
      </w:r>
    </w:p>
    <w:p w14:paraId="6947EA43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6F2F325" w14:textId="77777777" w:rsidR="007864C0" w:rsidRPr="00805582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7864C0" w:rsidRPr="00E73AF0" w14:paraId="573BDD93" w14:textId="77777777" w:rsidTr="00ED771A">
        <w:trPr>
          <w:trHeight w:val="1162"/>
          <w:jc w:val="center"/>
        </w:trPr>
        <w:tc>
          <w:tcPr>
            <w:tcW w:w="3828" w:type="dxa"/>
            <w:vAlign w:val="center"/>
          </w:tcPr>
          <w:p w14:paraId="31668E0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Найменування предмета закупівлі</w:t>
            </w:r>
          </w:p>
        </w:tc>
        <w:tc>
          <w:tcPr>
            <w:tcW w:w="6379" w:type="dxa"/>
            <w:vAlign w:val="center"/>
          </w:tcPr>
          <w:p w14:paraId="4662CC13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  <w:b/>
              </w:rPr>
              <w:t>Адреси підключень каналів зв’язку до мережі Інтернет</w:t>
            </w:r>
          </w:p>
        </w:tc>
      </w:tr>
      <w:tr w:rsidR="007864C0" w:rsidRPr="00E73AF0" w14:paraId="0F7D1CE1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2EB04717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40C68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60200,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1F7CBD76" w14:textId="77777777" w:rsidR="007864C0" w:rsidRPr="00EF66E3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Сокиряни</w:t>
            </w:r>
            <w:proofErr w:type="spellEnd"/>
            <w:r>
              <w:rPr>
                <w:rFonts w:ascii="Times New Roman" w:hAnsi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</w:rPr>
              <w:t>Могилівська</w:t>
            </w:r>
            <w:proofErr w:type="spellEnd"/>
            <w:r>
              <w:rPr>
                <w:rFonts w:ascii="Times New Roman" w:hAnsi="Times New Roman"/>
              </w:rPr>
              <w:t>, 28</w:t>
            </w:r>
          </w:p>
        </w:tc>
      </w:tr>
      <w:tr w:rsidR="007864C0" w:rsidRPr="00E73AF0" w14:paraId="7AFFD5E2" w14:textId="77777777" w:rsidTr="00ED771A">
        <w:trPr>
          <w:trHeight w:val="410"/>
          <w:jc w:val="center"/>
        </w:trPr>
        <w:tc>
          <w:tcPr>
            <w:tcW w:w="3828" w:type="dxa"/>
            <w:shd w:val="clear" w:color="auto" w:fill="FFFFFF"/>
            <w:vAlign w:val="center"/>
          </w:tcPr>
          <w:p w14:paraId="4DC9A261" w14:textId="77777777" w:rsidR="007864C0" w:rsidRPr="00320B77" w:rsidRDefault="007864C0" w:rsidP="00ED771A">
            <w:pPr>
              <w:widowControl w:val="0"/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320B77">
              <w:rPr>
                <w:rFonts w:ascii="Times New Roman" w:hAnsi="Times New Roman"/>
                <w:color w:val="000000"/>
              </w:rPr>
              <w:t>Послуги доступу до мережі Інтернет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3762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60154,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51C483C4" w14:textId="77777777" w:rsidR="007864C0" w:rsidRPr="007C028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Росошани</w:t>
            </w:r>
            <w:proofErr w:type="spellEnd"/>
            <w:r>
              <w:rPr>
                <w:rFonts w:ascii="Times New Roman" w:hAnsi="Times New Roman"/>
              </w:rPr>
              <w:t>, вул. Центральна, 191</w:t>
            </w:r>
          </w:p>
        </w:tc>
      </w:tr>
    </w:tbl>
    <w:p w14:paraId="43BD3D95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4DF047FB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Технічні характеристики до цифрових каналів </w:t>
      </w:r>
      <w:r w:rsidRPr="00E73AF0">
        <w:rPr>
          <w:rFonts w:ascii="Times New Roman" w:hAnsi="Times New Roman"/>
          <w:b/>
          <w:kern w:val="2"/>
        </w:rPr>
        <w:t>передачі даних</w:t>
      </w:r>
      <w:r w:rsidRPr="00E73AF0">
        <w:rPr>
          <w:rFonts w:ascii="Times New Roman" w:hAnsi="Times New Roman"/>
          <w:b/>
          <w:bCs/>
          <w:kern w:val="2"/>
        </w:rPr>
        <w:t xml:space="preserve"> </w:t>
      </w:r>
      <w:r w:rsidRPr="00E73AF0">
        <w:rPr>
          <w:rFonts w:ascii="Times New Roman" w:hAnsi="Times New Roman"/>
          <w:b/>
          <w:kern w:val="2"/>
        </w:rPr>
        <w:t xml:space="preserve">з доступом до мережі Інтернет </w:t>
      </w:r>
      <w:r w:rsidRPr="00E73AF0">
        <w:rPr>
          <w:rFonts w:ascii="Times New Roman" w:hAnsi="Times New Roman"/>
          <w:b/>
          <w:bCs/>
          <w:kern w:val="2"/>
        </w:rPr>
        <w:t>та їх обслуговування</w:t>
      </w:r>
    </w:p>
    <w:p w14:paraId="160653A2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Cs/>
          <w:i/>
          <w:kern w:val="2"/>
        </w:rPr>
        <w:t>Таблиця 1</w:t>
      </w:r>
    </w:p>
    <w:tbl>
      <w:tblPr>
        <w:tblW w:w="1018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94"/>
        <w:gridCol w:w="5789"/>
      </w:tblGrid>
      <w:tr w:rsidR="007864C0" w:rsidRPr="00E73AF0" w14:paraId="61E0D55E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BC33377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ind w:firstLine="434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Назва характеристики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A9A05E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Технічні дані</w:t>
            </w:r>
          </w:p>
        </w:tc>
      </w:tr>
      <w:tr w:rsidR="007864C0" w:rsidRPr="00E73AF0" w14:paraId="793EBF20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665350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Вид каналу зв’язку (</w:t>
            </w:r>
            <w:r w:rsidRPr="00E73AF0">
              <w:rPr>
                <w:rFonts w:ascii="Times New Roman" w:hAnsi="Times New Roman"/>
                <w:bCs/>
                <w:kern w:val="2"/>
              </w:rPr>
              <w:t xml:space="preserve">надання доступу до </w:t>
            </w:r>
            <w:r w:rsidRPr="00E73AF0">
              <w:rPr>
                <w:rFonts w:ascii="Times New Roman" w:hAnsi="Times New Roman"/>
                <w:bCs/>
                <w:kern w:val="2"/>
              </w:rPr>
              <w:lastRenderedPageBreak/>
              <w:t>мережі Інтернет</w:t>
            </w:r>
            <w:r w:rsidRPr="00E73AF0">
              <w:rPr>
                <w:rFonts w:ascii="Times New Roman" w:hAnsi="Times New Roman"/>
                <w:kern w:val="2"/>
              </w:rPr>
              <w:t>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596E793" w14:textId="77777777" w:rsidR="007864C0" w:rsidRPr="00E73AF0" w:rsidRDefault="007864C0" w:rsidP="00ED771A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lastRenderedPageBreak/>
              <w:t xml:space="preserve"> наземний, симетричний</w:t>
            </w:r>
          </w:p>
        </w:tc>
      </w:tr>
      <w:tr w:rsidR="007864C0" w:rsidRPr="00E73AF0" w14:paraId="41E9B546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7372ED3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lastRenderedPageBreak/>
              <w:t>Пропускна здатність каналу, коефіцієнт переданих пакетів, у % (не менше)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B0C4CC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99,5 %</w:t>
            </w:r>
          </w:p>
        </w:tc>
      </w:tr>
      <w:tr w:rsidR="007864C0" w:rsidRPr="00E73AF0" w14:paraId="73DB26D7" w14:textId="77777777" w:rsidTr="00ED771A">
        <w:trPr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DC0F81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Інтерфейс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E4B8FDF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IP, не менше 100 Base-TX</w:t>
            </w:r>
          </w:p>
        </w:tc>
      </w:tr>
      <w:tr w:rsidR="007864C0" w:rsidRPr="00E73AF0" w14:paraId="311D64B4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96DF53A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Технічна підтримка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A6573EF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7864C0" w:rsidRPr="00E73AF0" w14:paraId="391910D8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AD0ECD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Режим надання Послуг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D1DBE4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24 години на добу, 7 днів на тиждень</w:t>
            </w:r>
          </w:p>
        </w:tc>
      </w:tr>
      <w:tr w:rsidR="007864C0" w:rsidRPr="00E73AF0" w14:paraId="3C596720" w14:textId="77777777" w:rsidTr="00ED771A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A7F5A7" w14:textId="77777777" w:rsidR="007864C0" w:rsidRPr="00E73AF0" w:rsidRDefault="007864C0" w:rsidP="00ED7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Швидкість</w:t>
            </w:r>
          </w:p>
        </w:tc>
        <w:tc>
          <w:tcPr>
            <w:tcW w:w="57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87D092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Відповідно до Таблиці 2</w:t>
            </w:r>
          </w:p>
        </w:tc>
      </w:tr>
    </w:tbl>
    <w:p w14:paraId="4CD61AA7" w14:textId="77777777" w:rsidR="007864C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14:paraId="4CC96550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E73AF0">
        <w:rPr>
          <w:rFonts w:ascii="Times New Roman" w:hAnsi="Times New Roman"/>
          <w:b/>
          <w:bCs/>
          <w:spacing w:val="2"/>
        </w:rPr>
        <w:t>Вимоги до предмету закупівлі</w:t>
      </w:r>
    </w:p>
    <w:p w14:paraId="65409670" w14:textId="77777777" w:rsidR="007864C0" w:rsidRPr="00E73AF0" w:rsidRDefault="007864C0" w:rsidP="007864C0">
      <w:pPr>
        <w:widowControl w:val="0"/>
        <w:shd w:val="clear" w:color="auto" w:fill="FFFFFF"/>
        <w:tabs>
          <w:tab w:val="left" w:pos="0"/>
          <w:tab w:val="left" w:pos="4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E73AF0">
        <w:rPr>
          <w:rFonts w:ascii="Times New Roman" w:hAnsi="Times New Roman"/>
          <w:i/>
        </w:rPr>
        <w:t>Таблиця 2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106"/>
        <w:gridCol w:w="3969"/>
        <w:gridCol w:w="992"/>
        <w:gridCol w:w="2552"/>
      </w:tblGrid>
      <w:tr w:rsidR="007864C0" w:rsidRPr="00E73AF0" w14:paraId="63DB55DC" w14:textId="77777777" w:rsidTr="00ED771A">
        <w:tc>
          <w:tcPr>
            <w:tcW w:w="554" w:type="dxa"/>
            <w:vAlign w:val="center"/>
          </w:tcPr>
          <w:p w14:paraId="79D8217F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06" w:type="dxa"/>
            <w:vAlign w:val="center"/>
          </w:tcPr>
          <w:p w14:paraId="738A0B08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Послуга</w:t>
            </w:r>
          </w:p>
        </w:tc>
        <w:tc>
          <w:tcPr>
            <w:tcW w:w="3969" w:type="dxa"/>
            <w:vAlign w:val="center"/>
          </w:tcPr>
          <w:p w14:paraId="11D62287" w14:textId="77777777" w:rsidR="007864C0" w:rsidRPr="00E73AF0" w:rsidRDefault="007864C0" w:rsidP="00ED771A">
            <w:pPr>
              <w:widowControl w:val="0"/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lang w:eastAsia="hi-IN" w:bidi="hi-IN"/>
              </w:rPr>
            </w:pPr>
            <w:r w:rsidRPr="00E73AF0">
              <w:rPr>
                <w:rFonts w:ascii="Times New Roman" w:eastAsia="SimSun" w:hAnsi="Times New Roman"/>
                <w:b/>
                <w:kern w:val="3"/>
                <w:lang w:eastAsia="hi-IN" w:bidi="hi-IN"/>
              </w:rPr>
              <w:t>Адреса надання послуг</w:t>
            </w:r>
          </w:p>
        </w:tc>
        <w:tc>
          <w:tcPr>
            <w:tcW w:w="992" w:type="dxa"/>
            <w:vAlign w:val="center"/>
          </w:tcPr>
          <w:p w14:paraId="5EF748D1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Технологія</w:t>
            </w:r>
          </w:p>
        </w:tc>
        <w:tc>
          <w:tcPr>
            <w:tcW w:w="2552" w:type="dxa"/>
            <w:vAlign w:val="center"/>
          </w:tcPr>
          <w:p w14:paraId="4FB16778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AF0">
              <w:rPr>
                <w:rFonts w:ascii="Times New Roman" w:hAnsi="Times New Roman"/>
                <w:b/>
              </w:rPr>
              <w:t>Швидкість доступу до мережі Інтернет</w:t>
            </w:r>
          </w:p>
        </w:tc>
      </w:tr>
      <w:tr w:rsidR="007864C0" w:rsidRPr="00AB16DC" w14:paraId="14759EC3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7079CF02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85B">
              <w:rPr>
                <w:rFonts w:ascii="Times New Roman" w:hAnsi="Times New Roman"/>
              </w:rPr>
              <w:t>1</w:t>
            </w:r>
          </w:p>
        </w:tc>
        <w:tc>
          <w:tcPr>
            <w:tcW w:w="2106" w:type="dxa"/>
            <w:vAlign w:val="center"/>
          </w:tcPr>
          <w:p w14:paraId="0C0763C2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ACFD6" w14:textId="77777777" w:rsidR="007864C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60200,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</w:t>
            </w:r>
          </w:p>
          <w:p w14:paraId="72540DB8" w14:textId="77777777" w:rsidR="007864C0" w:rsidRPr="00EF66E3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Сокиряни</w:t>
            </w:r>
            <w:proofErr w:type="spellEnd"/>
            <w:r>
              <w:rPr>
                <w:rFonts w:ascii="Times New Roman" w:hAnsi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</w:rPr>
              <w:t>Могилівська</w:t>
            </w:r>
            <w:proofErr w:type="spellEnd"/>
            <w:r>
              <w:rPr>
                <w:rFonts w:ascii="Times New Roman" w:hAnsi="Times New Roman"/>
              </w:rPr>
              <w:t>, 28</w:t>
            </w:r>
          </w:p>
        </w:tc>
        <w:tc>
          <w:tcPr>
            <w:tcW w:w="992" w:type="dxa"/>
            <w:vAlign w:val="center"/>
          </w:tcPr>
          <w:p w14:paraId="1D9F48E7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02BC7F8B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3AF0">
              <w:rPr>
                <w:rFonts w:ascii="Times New Roman" w:hAnsi="Times New Roman"/>
              </w:rPr>
              <w:t>Upload</w:t>
            </w:r>
            <w:proofErr w:type="spellEnd"/>
            <w:r w:rsidRPr="00E73AF0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Мбіт/с, </w:t>
            </w:r>
            <w:proofErr w:type="spellStart"/>
            <w:r w:rsidRPr="00E73AF0">
              <w:rPr>
                <w:rFonts w:ascii="Times New Roman" w:hAnsi="Times New Roman"/>
              </w:rPr>
              <w:t>Download</w:t>
            </w:r>
            <w:proofErr w:type="spellEnd"/>
            <w:r w:rsidRPr="00E73AF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  <w:tr w:rsidR="007864C0" w:rsidRPr="00AB16DC" w14:paraId="0BD6B1C4" w14:textId="77777777" w:rsidTr="00ED771A">
        <w:trPr>
          <w:trHeight w:val="977"/>
        </w:trPr>
        <w:tc>
          <w:tcPr>
            <w:tcW w:w="554" w:type="dxa"/>
            <w:vAlign w:val="center"/>
          </w:tcPr>
          <w:p w14:paraId="7F585935" w14:textId="77777777" w:rsidR="007864C0" w:rsidRPr="00F6385B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6" w:type="dxa"/>
            <w:vAlign w:val="center"/>
          </w:tcPr>
          <w:p w14:paraId="7B634A33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Послуги доступу до мережі Інтернет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281C9" w14:textId="77777777" w:rsidR="007864C0" w:rsidRPr="007C0280" w:rsidRDefault="007864C0" w:rsidP="00ED77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0B77">
              <w:rPr>
                <w:rFonts w:ascii="Times New Roman" w:hAnsi="Times New Roman"/>
                <w:color w:val="000000"/>
              </w:rPr>
              <w:t>60154,</w:t>
            </w:r>
            <w:r>
              <w:rPr>
                <w:rFonts w:ascii="Times New Roman" w:hAnsi="Times New Roman"/>
              </w:rPr>
              <w:t xml:space="preserve"> Чернівецька область, Дністровський район, с. </w:t>
            </w:r>
            <w:proofErr w:type="spellStart"/>
            <w:r>
              <w:rPr>
                <w:rFonts w:ascii="Times New Roman" w:hAnsi="Times New Roman"/>
              </w:rPr>
              <w:t>Росошани</w:t>
            </w:r>
            <w:proofErr w:type="spellEnd"/>
            <w:r>
              <w:rPr>
                <w:rFonts w:ascii="Times New Roman" w:hAnsi="Times New Roman"/>
              </w:rPr>
              <w:t>, вул. Центральна, 191</w:t>
            </w:r>
          </w:p>
        </w:tc>
        <w:tc>
          <w:tcPr>
            <w:tcW w:w="992" w:type="dxa"/>
            <w:vAlign w:val="center"/>
          </w:tcPr>
          <w:p w14:paraId="65D9CE37" w14:textId="77777777" w:rsidR="007864C0" w:rsidRPr="00E73AF0" w:rsidRDefault="007864C0" w:rsidP="00ED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F0">
              <w:rPr>
                <w:rFonts w:ascii="Times New Roman" w:hAnsi="Times New Roman"/>
              </w:rPr>
              <w:t>GPON</w:t>
            </w:r>
          </w:p>
        </w:tc>
        <w:tc>
          <w:tcPr>
            <w:tcW w:w="2552" w:type="dxa"/>
            <w:vAlign w:val="center"/>
          </w:tcPr>
          <w:p w14:paraId="6FC8F7C8" w14:textId="77777777" w:rsidR="007864C0" w:rsidRPr="00E73AF0" w:rsidRDefault="007864C0" w:rsidP="00ED77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3AF0">
              <w:rPr>
                <w:rFonts w:ascii="Times New Roman" w:hAnsi="Times New Roman"/>
              </w:rPr>
              <w:t>Upload</w:t>
            </w:r>
            <w:proofErr w:type="spellEnd"/>
            <w:r w:rsidRPr="00E73AF0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50</w:t>
            </w:r>
            <w:r w:rsidRPr="00E73AF0">
              <w:rPr>
                <w:rFonts w:ascii="Times New Roman" w:hAnsi="Times New Roman"/>
              </w:rPr>
              <w:t xml:space="preserve"> Мбіт/с, </w:t>
            </w:r>
            <w:proofErr w:type="spellStart"/>
            <w:r w:rsidRPr="00E73AF0">
              <w:rPr>
                <w:rFonts w:ascii="Times New Roman" w:hAnsi="Times New Roman"/>
              </w:rPr>
              <w:t>Download</w:t>
            </w:r>
            <w:proofErr w:type="spellEnd"/>
            <w:r w:rsidRPr="00E73AF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50</w:t>
            </w:r>
            <w:r w:rsidRPr="00E73AF0">
              <w:rPr>
                <w:rFonts w:ascii="Times New Roman" w:hAnsi="Times New Roman"/>
              </w:rPr>
              <w:t xml:space="preserve"> Мбіт/с</w:t>
            </w:r>
          </w:p>
        </w:tc>
      </w:tr>
    </w:tbl>
    <w:p w14:paraId="466E544A" w14:textId="77777777" w:rsidR="007864C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</w:rPr>
      </w:pPr>
    </w:p>
    <w:p w14:paraId="11A47B8B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2. Доступність Послуг та умови про рівень якості їх надання</w:t>
      </w:r>
    </w:p>
    <w:p w14:paraId="6E24431C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2.1. Послуги вважаються доступними, якщо вони відповідають вимогам, приведеним у Таблицях 1, 2.</w:t>
      </w:r>
    </w:p>
    <w:p w14:paraId="002F6B2F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2.2. Послуги можуть бути тимчасово недоступні внаслідок проведення планованих робіт (Планові роботи)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або виникнення аварійних ситуацій з різних причин.</w:t>
      </w:r>
    </w:p>
    <w:p w14:paraId="362F8DAB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2.3. Проведення Планових робіт призводить до запланованої недоступності послуг (ЗНП).</w:t>
      </w:r>
    </w:p>
    <w:p w14:paraId="595A9750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 Вимоги щодо ЗНП:</w:t>
      </w:r>
    </w:p>
    <w:p w14:paraId="036BB727" w14:textId="77777777" w:rsidR="007864C0" w:rsidRPr="00E73AF0" w:rsidRDefault="007864C0" w:rsidP="007864C0">
      <w:pPr>
        <w:widowControl w:val="0"/>
        <w:tabs>
          <w:tab w:val="left" w:pos="85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проводить Планові роботи, якщо погодив це із Замовником не менше ніж за 2 (два) робочих дні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14:paraId="565DF389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2.4.2. Планові роботи можуть проводитись в період з 23:00 до 08:00 год.</w:t>
      </w:r>
    </w:p>
    <w:p w14:paraId="6D54BA97" w14:textId="77777777" w:rsidR="007864C0" w:rsidRPr="00E73AF0" w:rsidRDefault="007864C0" w:rsidP="007864C0">
      <w:pPr>
        <w:widowControl w:val="0"/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2.4.3. Вимоги щодо загальної тривалості ЗНП приведені в Таблиці 3 цього Додатку.</w:t>
      </w:r>
    </w:p>
    <w:p w14:paraId="66871B4E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2.4.4. У випадку порушення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14:paraId="682F6144" w14:textId="77777777" w:rsidR="007864C0" w:rsidRPr="00E73AF0" w:rsidRDefault="007864C0" w:rsidP="007864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2.4.5. Проведення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14:paraId="7CB3570D" w14:textId="77777777" w:rsidR="007864C0" w:rsidRPr="00805582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i/>
          <w:kern w:val="2"/>
          <w:sz w:val="16"/>
          <w:szCs w:val="16"/>
        </w:rPr>
      </w:pPr>
    </w:p>
    <w:p w14:paraId="071F7667" w14:textId="77777777" w:rsidR="007864C0" w:rsidRPr="00E73AF0" w:rsidRDefault="007864C0" w:rsidP="007864C0">
      <w:pPr>
        <w:widowControl w:val="0"/>
        <w:tabs>
          <w:tab w:val="left" w:pos="9781"/>
        </w:tabs>
        <w:spacing w:after="0" w:line="240" w:lineRule="auto"/>
        <w:ind w:firstLine="143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3</w:t>
      </w:r>
    </w:p>
    <w:p w14:paraId="5D0DF774" w14:textId="77777777" w:rsidR="007864C0" w:rsidRPr="00E73AF0" w:rsidRDefault="007864C0" w:rsidP="007864C0">
      <w:pPr>
        <w:widowControl w:val="0"/>
        <w:spacing w:after="0" w:line="240" w:lineRule="auto"/>
        <w:ind w:firstLine="143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kern w:val="2"/>
        </w:rPr>
        <w:t>Загальна тривалість ЗНП</w:t>
      </w:r>
    </w:p>
    <w:tbl>
      <w:tblPr>
        <w:tblW w:w="94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74"/>
        <w:gridCol w:w="2269"/>
        <w:gridCol w:w="2954"/>
      </w:tblGrid>
      <w:tr w:rsidR="007864C0" w:rsidRPr="00E73AF0" w14:paraId="589270D6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BDAF32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Вид каналу зв’язку (каналу передавання даних)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9AF3374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Загальна тривалість ЗНП, на місяць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155AE99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 xml:space="preserve">Загальна тривалість ЗНП, </w:t>
            </w:r>
          </w:p>
          <w:p w14:paraId="7F180C07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Cs/>
                <w:kern w:val="2"/>
              </w:rPr>
              <w:t>на рік</w:t>
            </w:r>
          </w:p>
        </w:tc>
      </w:tr>
      <w:tr w:rsidR="007864C0" w:rsidRPr="00E73AF0" w14:paraId="0687D7B1" w14:textId="77777777" w:rsidTr="00ED771A">
        <w:trPr>
          <w:jc w:val="center"/>
        </w:trPr>
        <w:tc>
          <w:tcPr>
            <w:tcW w:w="4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4FFAB2C" w14:textId="77777777" w:rsidR="007864C0" w:rsidRPr="00E73AF0" w:rsidRDefault="007864C0" w:rsidP="00ED771A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 xml:space="preserve">Наземний канал зв’язку 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F5659E6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8 годин</w:t>
            </w:r>
          </w:p>
        </w:tc>
        <w:tc>
          <w:tcPr>
            <w:tcW w:w="2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EC3BF20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до 48 годин</w:t>
            </w:r>
          </w:p>
        </w:tc>
      </w:tr>
    </w:tbl>
    <w:p w14:paraId="246A4318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1B9CC67D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2.5.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687769EC" w14:textId="77777777" w:rsidR="007864C0" w:rsidRPr="00E73AF0" w:rsidRDefault="007864C0" w:rsidP="007864C0">
      <w:pPr>
        <w:widowControl w:val="0"/>
        <w:tabs>
          <w:tab w:val="left" w:pos="824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8276BA2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14:paraId="2B590B15" w14:textId="77777777" w:rsidR="007864C0" w:rsidRPr="00E73AF0" w:rsidRDefault="007864C0" w:rsidP="007864C0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 Порядок та строки усунення АНП:</w:t>
      </w:r>
    </w:p>
    <w:p w14:paraId="120AE751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2.8.1. У випадку виникнення АНП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негайно повідомляє про це представників технічної підтримки Замовника по телефону або електронною поштою, що зазначені в тендерній документації.</w:t>
      </w:r>
    </w:p>
    <w:p w14:paraId="4758DB3A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lastRenderedPageBreak/>
        <w:t xml:space="preserve">2.8.2. У випадку, якщо АНП виявлена Замовником, останній негайно повідомляє про це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 телефону або за електронною адресою.</w:t>
      </w:r>
    </w:p>
    <w:p w14:paraId="36DF20E1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2.8.3. Повідомлення має містити вичерпні технічні відомості, якщо АНП виявлена Замовником.</w:t>
      </w:r>
    </w:p>
    <w:p w14:paraId="28FD254A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2.8.4. Початком періоду АНП вважається отримання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ом від Замовника повідомлення про АНП або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ом Замовника по телефону/через електронну пошту про АНП.</w:t>
      </w:r>
    </w:p>
    <w:p w14:paraId="128C61A6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>2.8.5. Строк усунення АНП приведені в Таблиці 4 цього Додатку.</w:t>
      </w:r>
    </w:p>
    <w:p w14:paraId="2E8AE80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2.8.6. Строки усунення АНП, що зазначені в Таблиці 4 цього Додатку, та відповідальність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14:paraId="21F3723D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2.8.7. Строки усунення АНП, зазначені у Таблиці 4 цього Додатку, не включають строк, протягом якого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Замовником не було надано необхідний доступ до Обладнання.</w:t>
      </w:r>
    </w:p>
    <w:p w14:paraId="13725C04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  <w:r w:rsidRPr="00E73AF0">
        <w:rPr>
          <w:rFonts w:ascii="Times New Roman" w:hAnsi="Times New Roman"/>
          <w:kern w:val="2"/>
        </w:rPr>
        <w:t>2.8.8. Завершенням періоду АНП вважається час фактичного усунення АНП та відновлення доступності Послуг.</w:t>
      </w:r>
    </w:p>
    <w:p w14:paraId="2540AE5E" w14:textId="77777777" w:rsidR="007864C0" w:rsidRPr="00E73AF0" w:rsidRDefault="007864C0" w:rsidP="007864C0">
      <w:pPr>
        <w:widowControl w:val="0"/>
        <w:spacing w:after="0" w:line="240" w:lineRule="auto"/>
        <w:jc w:val="right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i/>
          <w:kern w:val="2"/>
        </w:rPr>
        <w:t>Таблиця 4</w:t>
      </w:r>
    </w:p>
    <w:p w14:paraId="3D6E065E" w14:textId="77777777" w:rsidR="007864C0" w:rsidRPr="00E73AF0" w:rsidRDefault="007864C0" w:rsidP="007864C0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E73AF0">
        <w:rPr>
          <w:rFonts w:ascii="Times New Roman" w:hAnsi="Times New Roman"/>
          <w:b/>
          <w:kern w:val="2"/>
        </w:rPr>
        <w:t>Строк усунення АНП</w:t>
      </w:r>
    </w:p>
    <w:tbl>
      <w:tblPr>
        <w:tblW w:w="96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86"/>
        <w:gridCol w:w="5153"/>
      </w:tblGrid>
      <w:tr w:rsidR="007864C0" w:rsidRPr="00E73AF0" w14:paraId="52BC6BF9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0F7232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Вид  АНП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40C9BA8" w14:textId="77777777" w:rsidR="007864C0" w:rsidRPr="00E73AF0" w:rsidRDefault="007864C0" w:rsidP="00ED7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b/>
                <w:bCs/>
                <w:kern w:val="2"/>
              </w:rPr>
              <w:t>Максимальний строк усунення АНП</w:t>
            </w:r>
          </w:p>
        </w:tc>
      </w:tr>
      <w:tr w:rsidR="007864C0" w:rsidRPr="00E73AF0" w14:paraId="1EAE8CC6" w14:textId="77777777" w:rsidTr="00ED771A">
        <w:trPr>
          <w:jc w:val="center"/>
        </w:trPr>
        <w:tc>
          <w:tcPr>
            <w:tcW w:w="44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871789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логічний рівень</w:t>
            </w:r>
          </w:p>
        </w:tc>
        <w:tc>
          <w:tcPr>
            <w:tcW w:w="5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9EA1B5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8 годин</w:t>
            </w:r>
          </w:p>
        </w:tc>
      </w:tr>
      <w:tr w:rsidR="007864C0" w:rsidRPr="00E73AF0" w14:paraId="6BC10896" w14:textId="77777777" w:rsidTr="00ED771A">
        <w:trPr>
          <w:jc w:val="center"/>
        </w:trPr>
        <w:tc>
          <w:tcPr>
            <w:tcW w:w="4486" w:type="dxa"/>
            <w:tcBorders>
              <w:left w:val="single" w:sz="4" w:space="0" w:color="000080"/>
              <w:bottom w:val="single" w:sz="4" w:space="0" w:color="000080"/>
            </w:tcBorders>
          </w:tcPr>
          <w:p w14:paraId="295B509D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фізичний рівень</w:t>
            </w:r>
          </w:p>
        </w:tc>
        <w:tc>
          <w:tcPr>
            <w:tcW w:w="515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3051DB" w14:textId="77777777" w:rsidR="007864C0" w:rsidRPr="00E73AF0" w:rsidRDefault="007864C0" w:rsidP="00ED771A">
            <w:pPr>
              <w:widowControl w:val="0"/>
              <w:tabs>
                <w:tab w:val="left" w:pos="100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</w:rPr>
            </w:pPr>
            <w:r w:rsidRPr="00E73AF0">
              <w:rPr>
                <w:rFonts w:ascii="Times New Roman" w:hAnsi="Times New Roman"/>
                <w:kern w:val="2"/>
              </w:rPr>
              <w:t>48 годин</w:t>
            </w:r>
          </w:p>
        </w:tc>
      </w:tr>
    </w:tbl>
    <w:p w14:paraId="67734E03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14:paraId="4D84BC1B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2.8.9. Про факт відновлення доступності Послуг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повідомляє Замовника по телефону та дублює повідомлення електронною поштою. На повідомлення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Замовник підтверджує чи не підтверджує факт відновлення доступності Послуг.</w:t>
      </w:r>
    </w:p>
    <w:p w14:paraId="78312AAD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2.8.10. Замовник зобов’язується негайно надавати персоналу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14:paraId="113F2B02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2.8.11. Для отримання необхідного доступу до приміщень Замовника, персонал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 пред’являє Замовнику службові посвідчення та направлення на виконання робіт.</w:t>
      </w:r>
    </w:p>
    <w:p w14:paraId="3F619E74" w14:textId="77777777" w:rsidR="007864C0" w:rsidRPr="00E73AF0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1F08A0DC" w14:textId="77777777" w:rsidR="007864C0" w:rsidRPr="00805582" w:rsidRDefault="007864C0" w:rsidP="007864C0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16"/>
          <w:szCs w:val="16"/>
        </w:rPr>
      </w:pPr>
    </w:p>
    <w:p w14:paraId="290FCDCC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b/>
          <w:bCs/>
          <w:kern w:val="2"/>
        </w:rPr>
        <w:t xml:space="preserve">3. Технічна підтримка </w:t>
      </w:r>
      <w:r w:rsidRPr="00E73AF0">
        <w:rPr>
          <w:rFonts w:ascii="Times New Roman" w:eastAsia="Arial Unicode MS" w:hAnsi="Times New Roman"/>
          <w:b/>
          <w:kern w:val="2"/>
        </w:rPr>
        <w:t>Учасник</w:t>
      </w:r>
      <w:r w:rsidRPr="00E73AF0">
        <w:rPr>
          <w:rFonts w:ascii="Times New Roman" w:hAnsi="Times New Roman"/>
          <w:b/>
          <w:bCs/>
          <w:kern w:val="2"/>
        </w:rPr>
        <w:t>а</w:t>
      </w:r>
    </w:p>
    <w:p w14:paraId="5E56D596" w14:textId="77777777" w:rsidR="007864C0" w:rsidRPr="00E73AF0" w:rsidRDefault="007864C0" w:rsidP="007864C0">
      <w:pPr>
        <w:widowControl w:val="0"/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E73AF0">
        <w:rPr>
          <w:rFonts w:ascii="Times New Roman" w:hAnsi="Times New Roman"/>
          <w:kern w:val="2"/>
        </w:rPr>
        <w:t xml:space="preserve">3.1.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 xml:space="preserve"> приймає звернення (повідомлення) Замовника цілодобово, без перерв та вихідних по телефону та на електронну адресу </w:t>
      </w:r>
      <w:r w:rsidRPr="00E73AF0">
        <w:rPr>
          <w:rFonts w:ascii="Times New Roman" w:eastAsia="Arial Unicode MS" w:hAnsi="Times New Roman"/>
          <w:kern w:val="2"/>
        </w:rPr>
        <w:t>Учасник</w:t>
      </w:r>
      <w:r w:rsidRPr="00E73AF0">
        <w:rPr>
          <w:rFonts w:ascii="Times New Roman" w:hAnsi="Times New Roman"/>
          <w:kern w:val="2"/>
        </w:rPr>
        <w:t>а.</w:t>
      </w:r>
    </w:p>
    <w:p w14:paraId="444CCA76" w14:textId="77777777" w:rsidR="007864C0" w:rsidRPr="00E73AF0" w:rsidRDefault="007864C0" w:rsidP="007864C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73AF0">
        <w:rPr>
          <w:rFonts w:ascii="Times New Roman" w:hAnsi="Times New Roman"/>
          <w:kern w:val="2"/>
        </w:rPr>
        <w:t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каналу, на якому виникли проблеми з передачі даних; причину звернення.</w:t>
      </w:r>
    </w:p>
    <w:p w14:paraId="50FFEB15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4EA52C8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C768771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A36CA26" w14:textId="77777777" w:rsidR="007864C0" w:rsidRDefault="007864C0" w:rsidP="007864C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2F5F45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A791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4C4B3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AC0DF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60D8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261D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1495A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7FB6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3917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0DBF8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3B374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8345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DE213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6CA4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A8AF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1EDA9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7549F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624A4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868F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0A1B5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8508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6389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5C1C2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72590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8E957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C9B4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CCEC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56AAE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A6C80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15BCB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B46CD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7E7F5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A98C5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36D39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1EB43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B551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C0E7A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41DDC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A5BF6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6BA71" w14:textId="77777777" w:rsidR="007864C0" w:rsidRDefault="007864C0" w:rsidP="007864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F582" w14:textId="77777777" w:rsidR="007864C0" w:rsidRPr="00E10DE7" w:rsidRDefault="007864C0" w:rsidP="007864C0">
      <w:pPr>
        <w:tabs>
          <w:tab w:val="left" w:pos="5327"/>
        </w:tabs>
        <w:ind w:firstLine="567"/>
      </w:pPr>
    </w:p>
    <w:p w14:paraId="533F2FCC" w14:textId="77777777" w:rsidR="008D7F96" w:rsidRPr="00E10DE7" w:rsidRDefault="008D7F96" w:rsidP="008D7F96">
      <w:pPr>
        <w:pStyle w:val="a8"/>
        <w:jc w:val="center"/>
      </w:pPr>
    </w:p>
    <w:sectPr w:rsidR="008D7F96" w:rsidRPr="00E10D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8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0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0478E4"/>
    <w:rsid w:val="001D7739"/>
    <w:rsid w:val="0024461B"/>
    <w:rsid w:val="00282C23"/>
    <w:rsid w:val="002B72AC"/>
    <w:rsid w:val="00410F8E"/>
    <w:rsid w:val="004D601B"/>
    <w:rsid w:val="004E5C3C"/>
    <w:rsid w:val="0053501A"/>
    <w:rsid w:val="005A14F4"/>
    <w:rsid w:val="007471B4"/>
    <w:rsid w:val="007864C0"/>
    <w:rsid w:val="00786B0C"/>
    <w:rsid w:val="007C7962"/>
    <w:rsid w:val="007F3D00"/>
    <w:rsid w:val="008D7F96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EA5CE1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333A5-09ED-4291-9C08-2614270C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nbo.gov.ua/documents/4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8030</Words>
  <Characters>4578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2023-04-11T11:24:00Z</dcterms:created>
  <dcterms:modified xsi:type="dcterms:W3CDTF">2023-04-11T11:24:00Z</dcterms:modified>
</cp:coreProperties>
</file>