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spacing w:val="-3"/>
          <w:kern w:val="0"/>
          <w:sz w:val="28"/>
          <w:szCs w:val="28"/>
          <w:lang w:val="uk-UA" w:eastAsia="ru-RU" w:bidi="ar-SA"/>
        </w:rPr>
        <w:t xml:space="preserve">Постачання електричної енергії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 xml:space="preserve">ДК 021:2015: 09310000-5: Електрична енергія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3. Ідентифікатор закупівлі:  UA-2022-12-21-008847-a</w:t>
      </w:r>
      <w:r>
        <w:rPr>
          <w:b/>
          <w:bCs w:val="false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закупівлі електричної енергії,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160"/>
        <w:ind w:left="0" w:right="0" w:firstLine="73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1. Технічні вимоги:</w:t>
      </w:r>
    </w:p>
    <w:p>
      <w:pPr>
        <w:pStyle w:val="Normal"/>
        <w:spacing w:lineRule="auto" w:line="240" w:before="0" w:after="1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Категорія площадки вимірювання Споживача: Група «В»</w:t>
      </w:r>
    </w:p>
    <w:p>
      <w:pPr>
        <w:pStyle w:val="Normal"/>
        <w:spacing w:lineRule="auto" w:line="240" w:before="0" w:after="1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Клас напруги: другий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2. Загальні вимоги: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ab/>
        <w:t>2.1. Відносини між енергопостачальною організацією та споживачем електричної енергії регулюються наступними документами: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 xml:space="preserve">Закон України «Про ринок електричної енергії» від 13.04.2017 р. №2019-VIII;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 xml:space="preserve">Постановою  НКРЕКП  від 14.03.2018 р. №312 «Про затвердження Правил роздрібного ринку електричної енергії»; </w:t>
      </w:r>
    </w:p>
    <w:p>
      <w:pPr>
        <w:pStyle w:val="Normal"/>
        <w:numPr>
          <w:ilvl w:val="0"/>
          <w:numId w:val="1"/>
        </w:numPr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Постанови НКРЕКП від 14.03.2018 № 309 «Про затвердження Кодексу системи передачі»;</w:t>
      </w:r>
    </w:p>
    <w:p>
      <w:pPr>
        <w:pStyle w:val="Normal"/>
        <w:numPr>
          <w:ilvl w:val="0"/>
          <w:numId w:val="1"/>
        </w:numPr>
        <w:spacing w:lineRule="auto" w:line="240" w:before="0" w:after="200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Постанови НКРЕКП від 14.03.2018 № 307 «Про затвердження Правил ринку» (зі змінами та доповненнями);</w:t>
      </w:r>
    </w:p>
    <w:p>
      <w:pPr>
        <w:pStyle w:val="Normal"/>
        <w:numPr>
          <w:ilvl w:val="0"/>
          <w:numId w:val="1"/>
        </w:numPr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 xml:space="preserve">Постанови НКРЕКП від 13.04.2017 № 504 «Про затвердження Ліцензійних умов провадження господарської діяльності з постачання електричної енергії»; </w:t>
      </w:r>
    </w:p>
    <w:p>
      <w:pPr>
        <w:pStyle w:val="Normal"/>
        <w:numPr>
          <w:ilvl w:val="0"/>
          <w:numId w:val="1"/>
        </w:numPr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Постанови НКРЕКП від 27.12.2017 № 1469 «Про затвердження Ліцензійних умов провадження господарської діяльності з постачання електричної енергії споживачу».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інші нормативно-правові акти.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2.2. Фактом подання пропозиції учасник підтверджує, що він не знаходиться в статусі «дефолтного» відповідно до Розділу 1.7 «Невиконання зобов’язань» «Правил ринку», затверджених постановою НКРЕКП від 14.03.2018 № 307 (зі змінами та доповненнями) та зазначена інформація не була оприлюднена на сайті Приватного акціонерного товариства «НАЦІОНАЛЬНА ЕНЕРГЕТИЧНА КОМПАНІЯ «УКРЕНЕРГО», та/або інших відкритих джерелах Інформації. У разі, якщо Замовником буде перевірено та виявлено, що Учасник включений до Списку учасників ринку, що набули статусу “дефолтний ” станом на дату проведення розгляду та оцінки тендерної пропозиції такого Учасника, Замовник приймає рішення про відмову учаснику в участі у процедурі закупівлі та відхиляє учасника як такого, що не відповідає встановленим абзацом першим частини третьої статті 22 Закону України «Про публічні закупівлі» вимогам до учасника відповідно до законодавства.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both"/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3. Якісні показники електричної енергії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8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Якість електричної енергії – це сукупність властивостей електричної енергії відповідно до встановлених стандартів, які визначають ступінь її придатності для використання за призначенням.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8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 xml:space="preserve">Технічні та якісні характеристики предмету закупівлі повинні відповідати технічним умовам та стандартам, передбаченим законодавством України, діючим на період постачання товару.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ab/>
        <w:t xml:space="preserve">Параметри якості електричної енергії в точках приєднання споживача у нормальних умовах експлуатації мають відповідати параметрам, визначеним у </w:t>
      </w:r>
      <w:r>
        <w:rPr>
          <w:rStyle w:val="24"/>
          <w:rFonts w:eastAsia="Times New Roman" w:cs="Times New Roman"/>
          <w:bCs w:val="false"/>
          <w:color w:val="000000"/>
          <w:spacing w:val="0"/>
          <w:w w:val="100"/>
          <w:kern w:val="0"/>
          <w:sz w:val="28"/>
          <w:szCs w:val="28"/>
          <w:highlight w:val="white"/>
          <w:lang w:val="uk-UA" w:eastAsia="ru-RU" w:bidi="ar-SA"/>
        </w:rPr>
        <w:t xml:space="preserve">ДСТУ EN 50160:2014 «Характеристики напруги електропостачання в електричних мережах загального призначення» </w:t>
      </w: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>(EN 50160:2010, IDT).</w:t>
      </w:r>
    </w:p>
    <w:p>
      <w:pPr>
        <w:pStyle w:val="Normal"/>
        <w:spacing w:lineRule="auto" w:line="240" w:before="0" w:after="0"/>
        <w:ind w:left="0" w:right="0" w:firstLine="328"/>
        <w:contextualSpacing/>
        <w:jc w:val="both"/>
        <w:rPr/>
      </w:pP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ab/>
        <w:t>Технічні, якісні характеристики товару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на навколишнє природне середовище і здоров’я людини. Постачальник зобов'язаний вживати</w:t>
      </w:r>
      <w:r>
        <w:rPr>
          <w:rStyle w:val="24"/>
          <w:rFonts w:eastAsia="Times New Roman" w:cs="Times New Roman"/>
          <w:bCs w:val="false"/>
          <w:color w:val="000000"/>
          <w:spacing w:val="0"/>
          <w:w w:val="100"/>
          <w:kern w:val="0"/>
          <w:sz w:val="28"/>
          <w:szCs w:val="28"/>
          <w:highlight w:val="white"/>
          <w:lang w:val="uk-UA" w:eastAsia="ru-RU" w:bidi="ar-SA"/>
        </w:rPr>
        <w:t xml:space="preserve"> заходи із захисту довкілля і забезпечити п</w:t>
      </w:r>
      <w:r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  <w:t xml:space="preserve">остачання товару у відповідності з вимогами чинного законодавства в галузі охорони навколишнього природного середовища. </w:t>
      </w:r>
    </w:p>
    <w:p>
      <w:pPr>
        <w:pStyle w:val="Normal"/>
        <w:widowControl w:val="false"/>
        <w:spacing w:lineRule="auto" w:line="240" w:before="0" w:after="0"/>
        <w:ind w:firstLine="567"/>
        <w:contextualSpacing/>
        <w:jc w:val="both"/>
        <w:rPr>
          <w:rStyle w:val="24"/>
          <w:rFonts w:eastAsia="Times New Roman" w:cs="Times New Roman"/>
          <w:bCs w:val="false"/>
          <w:color w:val="auto"/>
          <w:spacing w:val="0"/>
          <w:w w:val="100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i/>
          <w:color w:val="FF0000"/>
          <w:sz w:val="24"/>
          <w:szCs w:val="24"/>
          <w:lang w:val="uk-UA" w:eastAsia="uk-UA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620019,36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Шістсот двадцять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тисяч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дев’ятнадцять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гривень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36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Розрахунок 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чікуван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ої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варт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ості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предмету закупівлі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проведено на підставі тарифів, затверджених Постановою НКРЕКП від 05.10.2018 №1179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24">
    <w:name w:val="Основний текст (2)_"/>
    <w:basedOn w:val="DefaultParagraphFon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2"/>
      <w:u w:val="none"/>
    </w:rPr>
  </w:style>
  <w:style w:type="character" w:styleId="32">
    <w:name w:val="Основний текст (3)_"/>
    <w:basedOn w:val="DefaultParagraphFont"/>
    <w:qFormat/>
    <w:rPr>
      <w:rFonts w:ascii="Times New Roman" w:hAnsi="Times New Roman"/>
      <w:b/>
      <w:i/>
      <w:caps w:val="false"/>
      <w:smallCaps w:val="false"/>
      <w:strike w:val="false"/>
      <w:dstrike w:val="false"/>
      <w:sz w:val="18"/>
      <w:u w:val="none"/>
    </w:rPr>
  </w:style>
  <w:style w:type="character" w:styleId="311pt">
    <w:name w:val="Основний текст (3) + 11 pt,Не напівжирний,Не курсив"/>
    <w:basedOn w:val="3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2"/>
      <w:u w:val="none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3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5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4" w:customStyle="1">
    <w:name w:val="Номер3"/>
    <w:basedOn w:val="25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4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6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7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5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8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9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LibreOffice/6.4.4.2$Windows_X86_64 LibreOffice_project/3d775be2011f3886db32dfd395a6a6d1ca2630ff</Application>
  <Pages>3</Pages>
  <Words>694</Words>
  <Characters>4844</Characters>
  <CharactersWithSpaces>5521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2023-04-06T11:53:11Z</dcterms:modified>
  <cp:revision>12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