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ОБҐРУНТУВАННЯ ТЕХНІЧНИХ ТА ЯКІСНИХ ХАРАКТЕРИСТИК ПРЕДМЕТА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ЗАКУПІВЛІ, РОЗМІРУ БЮДЖЕТНОГО ПРИЗНАЧЕННЯ, ОЧІКУВАНОЇ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 w:val="false"/>
          <w:bCs w:val="false"/>
          <w:sz w:val="28"/>
          <w:szCs w:val="28"/>
        </w:rPr>
        <w:t>¹</w:t>
      </w:r>
      <w:r>
        <w:rPr>
          <w:b w:val="false"/>
          <w:bCs w:val="false"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b w:val="false"/>
          <w:bCs w:val="false"/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 xml:space="preserve">Послуги доступу до мережі Інтернет з використанням комплексної системи захисту інформації захищеного вузла Інтернет доступу, що відповідає коду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zh-CN" w:bidi="ar-SA"/>
        </w:rPr>
        <w:t>ДК 021:2015: 72410000-7: Послуги провайдерів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3. Ідентифікатор закупівлі: UA-2023-02-20-006441-a 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потреба</w:t>
      </w:r>
      <w:r>
        <w:rPr>
          <w:b w:val="false"/>
          <w:bCs w:val="false"/>
          <w:sz w:val="28"/>
          <w:szCs w:val="28"/>
        </w:rPr>
        <w:t xml:space="preserve"> у за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купівлі п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ослуг доступу до мережі Інтернет з використанням комплексної системи захисту інформації захищеного вузла Інтернет доступу,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Тип послуг: 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Послуги доступу до мережі  Інтернет з використанням комплексної системи захисту інформації захищеного вузла Інтернет </w:t>
      </w:r>
      <w:bookmarkStart w:id="0" w:name="__DdeLink__1402_126373537912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(далі – Послуги)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 мають надаватися через Захищений вузол Інтернет доступу Учасника за технологією TCP/IP по оптично-волоконній лінії зв’язку на швидкості 5</w:t>
      </w:r>
      <w:bookmarkStart w:id="1" w:name="_GoBack"/>
      <w:bookmarkEnd w:id="1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0 Мбіт/с та без урахування обсягів прийнятої та переданої інформації з операторським та технічним супроводженням доступу до мережі Інтернет за адресою: 61003, м. Харків, вул. Короленка, 16Б .</w:t>
      </w:r>
    </w:p>
    <w:p>
      <w:pPr>
        <w:pStyle w:val="ListParagraph"/>
        <w:spacing w:before="60" w:after="60"/>
        <w:ind w:left="216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bookmarkStart w:id="2" w:name="bookmark1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Загальні вимоги:</w:t>
      </w:r>
      <w:bookmarkEnd w:id="2"/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Послуги повинні надаватися відповідно до чинних в Україні законодавчих та нормативних актів, зокрема:</w:t>
      </w:r>
    </w:p>
    <w:p>
      <w:pPr>
        <w:pStyle w:val="ListParagraph"/>
        <w:ind w:left="567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–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Закону України «Про електронні комунікації»;</w:t>
      </w:r>
    </w:p>
    <w:p>
      <w:pPr>
        <w:pStyle w:val="ListParagraph"/>
        <w:tabs>
          <w:tab w:val="clear" w:pos="709"/>
          <w:tab w:val="left" w:pos="284" w:leader="none"/>
        </w:tabs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–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Указу Президента України «Про деякі заходи щодо захисту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10"/>
          <w:kern w:val="0"/>
          <w:sz w:val="28"/>
          <w:szCs w:val="28"/>
          <w:highlight w:val="white"/>
          <w:lang w:val="uk-UA" w:eastAsia="ru-RU" w:bidi="ar-SA"/>
        </w:rPr>
        <w:t xml:space="preserve">державних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інформаційних ресурсів у мережах передачі даних» від 24.09.2001 № 891; 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Держспецзв'язку від 10.06.2008 № 94, зареєстрованого в Міністерстві юстиції України 07 липня 2008 року за № 603/15294;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телекомунікацій.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Послуги повинні надаватися через Захищений вузол Інтернет доступу (далі – ЗВІД) Учасника, який повинен мати дійсний атестат відповідності системи захисту інформації та експертний висновок до нього.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Учасника.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Зона відповідальності Учасника при наданні Послуг – до інтерфейсу локального мережевого обладнання вузла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цілей.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Доступ до мережі Інтернет повинен здійснюватися за допомогою виділених цифрових каналів передачі даних.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забезпечити технічну підтримку каналів передачі даних, яка включає також постійний моніторинг каналу, діагностику причини відхилення від заданих технічних характеристик.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Послуги надаються в режимі 24/7/365.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Підключення до мережі Інтернет має бути забезпечено у синхронному симетричному режимі.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пряме підключення не менше ніж до двох українських точок обміну трафіком зі швидкістю не менше 10 Гбіт/с.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пряме підключення не менше ніж до двох зарубіжних точок обміну трафіком зі швидкістю не менше 10 Гбіт/с.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Підключення до мережі Інтернет у відповідності до всіх визначених технічних вимог має бути здійснено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single"/>
          <w:lang w:val="uk-UA" w:eastAsia="ru-RU" w:bidi="ar-SA"/>
        </w:rPr>
        <w:t>не пізніше 7 робочих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 днів після укладення Договору. 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Вимоги до Захищеного вузла Інтернет доступу: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112"/>
        <w:tabs>
          <w:tab w:val="left" w:pos="709" w:leader="none"/>
        </w:tabs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Доступ до глобальної мережі Інтернет повинен здійснюватися через власний ЗВІД Учасника із забезпеченням моніторингу та протидії інцидентам з інформаційної безпеки.</w:t>
      </w:r>
    </w:p>
    <w:p>
      <w:pPr>
        <w:pStyle w:val="112"/>
        <w:tabs>
          <w:tab w:val="left" w:pos="709" w:leader="none"/>
        </w:tabs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ЗВІД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</w:t>
      </w:r>
    </w:p>
    <w:p>
      <w:pPr>
        <w:pStyle w:val="Normal"/>
        <w:tabs>
          <w:tab w:val="left" w:pos="709" w:leader="none"/>
        </w:tabs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з наступними функціями: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застосування політики безпеки на к</w:t>
      </w:r>
      <w:r>
        <w:rPr>
          <w:rFonts w:eastAsia="Times New Roman" w:cs="Times New Roman"/>
          <w:b w:val="false"/>
          <w:bCs w:val="false"/>
          <w:color w:val="000000"/>
          <w:spacing w:val="-2"/>
          <w:kern w:val="0"/>
          <w:sz w:val="28"/>
          <w:szCs w:val="28"/>
          <w:highlight w:val="white"/>
          <w:lang w:val="uk-UA" w:eastAsia="ru-RU" w:bidi="ar-SA"/>
        </w:rPr>
        <w:t>омплексі програмно-технічних засобів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управління засобами захисту та функціями захисту активного мережевого обладнання, що входять до складу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безперервну експлуатацію та технічне обслуговування програмно-апаратних засобів захисту;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приймання повідомлень про інциденти щодо порушення безпеки від комплексу засобів захисту серверів ЗВІД;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приймання повідомлень про інциденти щодо порушення безпеки від активних мережевих засобів захисту та обладнання;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визначення правил проходження інформаційних потоків між активним мережевим обладнанням;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захист програмно-апаратних засобів від несанкціонованого доступу;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моніторинг та аналіз поточного стану безпеки ЗВІД;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аналіз прийнятих повідомлень та сортування згідно з рангом загрози;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контроль за входом користувачів в систему та доступом до ресурсів;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реєстрація дій користувачів по відношенню до ресурсів системи;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забезпечення цілісності інформаційних ресурсів центру (у тому числі антивірусний захист);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перевірка цілісності та функціонування системи захисту;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забезпечення необхідного рівня захисту технологічної інформації при її зберіганні, обробці, створенні та передачі за допомогою засобів системи, фізичний захист апаратно-програмних засобів ЗВІД від несанкціонованого доступу;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контроль за цілісністю функціонального програмного забезпечення та даних;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перевірка цілісності та коректності функціонування програмних та апаратних засобів захисту (самоконтроль);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забезпечення можливості повернення обчислювальної мережі ЗВІД у відомий захищений стан після відмов або переривання обслуговування;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uppressAutoHyphens w:val="false"/>
        <w:ind w:lef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керування мережевими засобами захисту та функціями захисту активного мережевого обладнання, що входить до складу ЗВІД.</w:t>
      </w:r>
    </w:p>
    <w:p>
      <w:pPr>
        <w:pStyle w:val="ListParagraph"/>
        <w:spacing w:before="60" w:after="60"/>
        <w:ind w:left="567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Вимоги до операторського та технічного супроводження:</w:t>
      </w:r>
    </w:p>
    <w:p>
      <w:pPr>
        <w:pStyle w:val="ListParagraph"/>
        <w:spacing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Учасник повинен мати власний Центр технічної підтримки, що працює в режимі: 24х7х365 (цілодобово (00:00-24:00) з понеділка по неділю включно, 365 днів на рік) з можливістю звернення по телефону або через веб-сайт, або електронну пошту (e-mail); 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Виконавця, та світових ресурсів.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здійснювати постійний моніторинг телекомунікаційних каналів зв’язку, виявлення та усунення причин відхилення від заданих технічних характеристик.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Учасник гарантує максимально допустимий час простою відсутності послуг на місяць – не більше 2 годин. 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мати можливість підтримки протоколу маршрутизації BGP.</w:t>
      </w:r>
    </w:p>
    <w:p>
      <w:pPr>
        <w:pStyle w:val="Normal"/>
        <w:suppressAutoHyphens w:val="false"/>
        <w:spacing w:before="60" w:after="6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Учасник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</w:r>
    </w:p>
    <w:p>
      <w:pPr>
        <w:pStyle w:val="ListParagraph"/>
        <w:spacing w:before="0" w:after="60"/>
        <w:ind w:left="0" w:firstLine="567"/>
        <w:contextualSpacing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Порядок та строки усунення інцидентів:</w:t>
      </w:r>
    </w:p>
    <w:p>
      <w:pPr>
        <w:pStyle w:val="ListParagraph"/>
        <w:spacing w:before="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Відсутність надання послуг протягом 15 хвилин вважається інцидентом.</w:t>
      </w:r>
    </w:p>
    <w:p>
      <w:pPr>
        <w:pStyle w:val="Normal"/>
        <w:widowControl w:val="false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У випадку виникнення інцидентів Учасник негайно повідомляє про це представників технічної підтримки Замовника по телефону або за електронною поштою (e-mail). </w:t>
      </w:r>
    </w:p>
    <w:p>
      <w:pPr>
        <w:pStyle w:val="Normal"/>
        <w:widowControl w:val="false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У випадку, якщо інцидент виявлено Замовником, останній негайно повідомляє про це представників технічної підтримки Учасника по телефону або через веб-сайт, або електронну пошту (e-mail).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Початком періоду інциденту вважається виявлена Учасником або Замовником відсутність надання Послуг.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Строк усунення інцидентів, які виникли з вини Учасника, не повинен перевищувати </w:t>
        <w:br/>
        <w:t>1 (одну) годину.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Порядок та строки усунення інцидентів, що виникли з вини Замовника, погоджується Сторонами в кожному окремому випадку. 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Завершенням періоду інциденту вважається час фактичного усунення інциденту та відновлення Послуг.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Про факт відновлення Послуг Учасник повідомляє Замовника по телефону та дублює повідомлення через веб-сайт або електронну пошту (e-mail). На повідомлення Учасника Замовник підтверджує чи не підтверджує факт відновлення надання Послуг.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Замовник зобов’язується надавати персоналу Учасника доступ до приміщень Замовника, необхідного телекомунікаційного обладнання, що забезпечує надання Послуг та розміщене </w:t>
      </w:r>
      <w:r>
        <w:rPr>
          <w:rFonts w:eastAsia="Times New Roman" w:cs="Times New Roman"/>
          <w:b w:val="false"/>
          <w:bCs w:val="false"/>
          <w:iCs/>
          <w:color w:val="000000"/>
          <w:kern w:val="0"/>
          <w:sz w:val="28"/>
          <w:szCs w:val="28"/>
          <w:highlight w:val="white"/>
          <w:lang w:val="uk-UA" w:eastAsia="ru-RU" w:bidi="ar-SA"/>
        </w:rPr>
        <w:t>в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 xml:space="preserve"> приміщеннях Замовника, для виконання робіт по відновленню Послуг.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Для отримання необхідного доступу до приміщень Замовника, Учасник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</w:r>
    </w:p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Учасника.</w:t>
      </w:r>
    </w:p>
    <w:p>
      <w:pPr>
        <w:pStyle w:val="Normal"/>
        <w:suppressAutoHyphens w:val="false"/>
        <w:spacing w:before="60" w:after="0"/>
        <w:ind w:firstLine="567"/>
        <w:jc w:val="both"/>
        <w:rPr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uk-UA" w:eastAsia="ru-RU" w:bidi="ar-SA"/>
        </w:rPr>
        <w:t>При надходженні заявки про інцидент (відсутність Послуги з вини Учасника), при перевищені строку відновлення надання Послуги понад нормований час,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6. Очікувана вартість предмета закупівлі:  </w:t>
      </w:r>
      <w:r>
        <w:rPr>
          <w:rStyle w:val="Style20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39965,20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грн. (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Тридцять дев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’ять тисяч дев’ятсот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шістдесят п’ять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гривень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0 копійок) з ПДВ.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7. Обґрунтування очікуваної вартості предмета закупівлі: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uk-UA" w:eastAsia="ru-RU" w:bidi="ar-SA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Style20">
    <w:name w:val="Виділення жирним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Arial"/>
    </w:rPr>
  </w:style>
  <w:style w:type="paragraph" w:styleId="Style26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7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8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9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9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Style31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2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3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4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5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6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7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paragraph" w:styleId="112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4"/>
      <w:szCs w:val="22"/>
      <w:lang w:val="uk-U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LibreOffice/6.4.4.2$Windows_X86_64 LibreOffice_project/3d775be2011f3886db32dfd395a6a6d1ca2630ff</Application>
  <Pages>5</Pages>
  <Words>1478</Words>
  <Characters>10354</Characters>
  <CharactersWithSpaces>11771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2023-03-08T12:33:39Z</cp:lastPrinted>
  <dcterms:modified xsi:type="dcterms:W3CDTF">2023-04-06T12:50:22Z</dcterms:modified>
  <cp:revision>13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