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>ОБҐРУНТУВАННЯ ТЕХНІЧНИХ ТА ЯКІСНИХ ХАРАКТЕРИСТИК ПРЕДМЕТА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>ЗАКУПІВЛІ, РОЗМІРУ БЮДЖЕТНОГО ПРИЗНАЧЕННЯ, ОЧІКУВАНОЇ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 w:val="false"/>
          <w:bCs w:val="false"/>
          <w:sz w:val="28"/>
          <w:szCs w:val="28"/>
        </w:rPr>
        <w:t>¹</w:t>
      </w:r>
      <w:r>
        <w:rPr>
          <w:b w:val="false"/>
          <w:bCs w:val="false"/>
          <w:sz w:val="28"/>
          <w:szCs w:val="28"/>
        </w:rPr>
        <w:t xml:space="preserve">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Короленка, 16Б, 61003; к</w:t>
      </w:r>
      <w:r>
        <w:rPr>
          <w:b w:val="false"/>
          <w:bCs w:val="false"/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 xml:space="preserve">Послуги доступу до мережі Інтернет з використанням комплексної системи захисту інформації захищеного вузла Інтернет доступу, що відповідає коду 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zh-CN" w:bidi="ar-SA"/>
        </w:rPr>
        <w:t>ДК 021:2015: 72410000-7: Послуги провайдерів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. 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3. Ідентифікатор закупівлі: UA-2023-03-06-005114-a  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У зв’язку з тим, що для виконання функцій митниці існує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потреба</w:t>
      </w:r>
      <w:r>
        <w:rPr>
          <w:b w:val="false"/>
          <w:bCs w:val="false"/>
          <w:sz w:val="28"/>
          <w:szCs w:val="28"/>
        </w:rPr>
        <w:t xml:space="preserve"> у за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купівлі п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ослуг доступу до мережі Інтернет з використанням комплексної системи захисту інформації захищеного вузла Інтернет доступу,</w:t>
      </w:r>
      <w:r>
        <w:rPr>
          <w:b w:val="false"/>
          <w:bCs w:val="false"/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Тип послуг: 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Послуги доступу до мережі  Інтернет з використанням комплексної системи захисту інформації захищеного вузла Інтернет </w:t>
      </w:r>
      <w:bookmarkStart w:id="0" w:name="__DdeLink__1402_126373537912"/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(далі – Послуги)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 мають надаватися через Захищений вузол Інтернет доступу Учасника за технологією TCP/IP по оптично-волоконній лінії зв’язку на швидкості 5</w:t>
      </w:r>
      <w:bookmarkStart w:id="1" w:name="_GoBack"/>
      <w:bookmarkEnd w:id="1"/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0 Мбіт/с та без урахування обсягів прийнятої та переданої інформації з операторським та технічним супроводженням доступу до мережі Інтернет за адресою: 61022,  м. Харків, майдан Свободи, буд.5, під’їзд 6.</w:t>
      </w:r>
    </w:p>
    <w:p>
      <w:pPr>
        <w:pStyle w:val="ListParagraph"/>
        <w:spacing w:before="60" w:after="60"/>
        <w:ind w:left="216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bookmarkStart w:id="2" w:name="bookmark1"/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Загальні вимоги:</w:t>
      </w:r>
      <w:bookmarkEnd w:id="2"/>
    </w:p>
    <w:p>
      <w:pPr>
        <w:pStyle w:val="ListParagraph"/>
        <w:spacing w:before="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Послуги повинні надаватися відповідно до чинних в Україні законодавчих та нормативних актів, зокрема:</w:t>
      </w:r>
    </w:p>
    <w:p>
      <w:pPr>
        <w:pStyle w:val="ListParagraph"/>
        <w:ind w:left="567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–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Закону України «Про електронні комунікації»;</w:t>
      </w:r>
    </w:p>
    <w:p>
      <w:pPr>
        <w:pStyle w:val="ListParagraph"/>
        <w:tabs>
          <w:tab w:val="clear" w:pos="709"/>
          <w:tab w:val="left" w:pos="284" w:leader="none"/>
        </w:tabs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–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Указу Президента України «Про деякі заходи щодо захисту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10"/>
          <w:kern w:val="0"/>
          <w:sz w:val="28"/>
          <w:szCs w:val="28"/>
          <w:highlight w:val="white"/>
          <w:lang w:val="uk-UA" w:eastAsia="ru-RU" w:bidi="ar-SA"/>
        </w:rPr>
        <w:t xml:space="preserve">державних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інформаційних ресурсів у мережах передачі даних» від 24.09.2001 № 891; 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Держспецзв'язку від 10.06.2008 № 94, зареєстрованого в Міністерстві юстиції України 07 липня 2008 року за № 603/15294;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Правил надання та отримання телекомунікаційних послуг, затверджених постановою Кабінету Міністрів України від 11.04.2012 № 295 та інших нормативно-правових актів України у сфері телекомунікацій.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Послуги повинні надаватися через Захищений вузол Інтернет доступу (далі – ЗВІД) Учасника, який повинен мати дійсний атестат відповідності системи захисту інформації та експертний висновок до нього.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здійснює розміщення власного обладнання, необхідного для забезпечення надання Послуг на вузлах мережі Замовника, відповідно до паспортних характеристик обладнання, а Замовник забезпечує технічні умови для розміщення та експлуатації обладнання Учасника.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Зона відповідальності Учасника при наданні Послуг – до інтерфейсу локального мережевого обладнання вузла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Послуг, та не використовується для інших цілей.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Доступ до мережі Інтернет повинен здійснюватися за допомогою виділених цифрових каналів передачі даних.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мати систему централізованого моніторингу завантаженості, працездатності та інших якісних характеристик каналів передачі даних, та у разі необхідності надавати ці відомості Замовнику.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забезпечити технічну підтримку каналів передачі даних, яка включає також постійний моніторинг каналу, діагностику причини відхилення від заданих технічних характеристик.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Послуги надаються в режимі 24/7/365.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Підключення до мережі Інтернет має бути забезпечено у синхронному симетричному режимі.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мати пряме підключення не менше ніж до двох українських точок обміну трафіком зі швидкістю не менше 10 Гбіт/с.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мати пряме підключення не менше ніж до двох зарубіжних точок обміну трафіком зі швидкістю не менше 10 Гбіт/с.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Підключення до мережі Інтернет у відповідності до всіх визначених технічних вимог має бути здійснено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single"/>
          <w:lang w:val="uk-UA" w:eastAsia="ru-RU" w:bidi="ar-SA"/>
        </w:rPr>
        <w:t>не пізніше 7 робочих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 днів після укладення Договору. 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Вимоги до Захищеного вузла Інтернет доступу: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112"/>
        <w:tabs>
          <w:tab w:val="left" w:pos="709" w:leader="none"/>
        </w:tabs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Доступ до глобальної мережі Інтернет повинен здійснюватися через власний ЗВІД Учасника із забезпеченням моніторингу та протидії інцидентам з інформаційної безпеки.</w:t>
      </w:r>
    </w:p>
    <w:p>
      <w:pPr>
        <w:pStyle w:val="112"/>
        <w:tabs>
          <w:tab w:val="left" w:pos="709" w:leader="none"/>
        </w:tabs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ЗВІД повинен являти собою сукупність програмно-технічних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України.</w:t>
      </w:r>
    </w:p>
    <w:p>
      <w:pPr>
        <w:pStyle w:val="Normal"/>
        <w:tabs>
          <w:tab w:val="left" w:pos="709" w:leader="none"/>
        </w:tabs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Для забезпечення необхідного рівня захисту відкритої і технологічної інформації при її зберіганні, обробці, створенні та передачі ЗВІД повинен мати створену Комплексну систему захисту інформації з наступними функціями: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застосування політики безпеки на к</w:t>
      </w:r>
      <w:r>
        <w:rPr>
          <w:rFonts w:eastAsia="Times New Roman" w:cs="Times New Roman"/>
          <w:b w:val="false"/>
          <w:bCs w:val="false"/>
          <w:color w:val="000000"/>
          <w:spacing w:val="-2"/>
          <w:kern w:val="0"/>
          <w:sz w:val="28"/>
          <w:szCs w:val="28"/>
          <w:highlight w:val="white"/>
          <w:lang w:val="uk-UA" w:eastAsia="ru-RU" w:bidi="ar-SA"/>
        </w:rPr>
        <w:t>омплексі програмно-технічних засобів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 ЗВІД;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управління засобами захисту та функціями захисту активного мережевого обладнання, що входять до складу ЗВІД;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безперервну експлуатацію та технічне обслуговування програмно-апаратних засобів захисту;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приймання повідомлень про інциденти щодо порушення безпеки від комплексу засобів захисту серверів ЗВІД;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приймання повідомлень про інциденти щодо порушення безпеки від активних мережевих засобів захисту та обладнання;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визначення правил проходження інформаційних потоків між активним мережевим обладнанням;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захист програмно-апаратних засобів від несанкціонованого доступу;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моніторинг та аналіз поточного стану безпеки ЗВІД;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аналіз прийнятих повідомлень та сортування згідно з рангом загрози;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контроль за входом користувачів в систему та доступом до ресурсів;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реєстрація дій користувачів по відношенню до ресурсів системи;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забезпечення цілісності інформаційних ресурсів центру (у тому числі антивірусний захист);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перевірка цілісності та функціонування системи захисту;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забезпечення необхідного рівня захисту технологічної інформації при її зберіганні, обробці, створенні та передачі за допомогою засобів системи, фізичний захист апаратно-програмних засобів ЗВІД від несанкціонованого доступу;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контроль за цілісністю функціонального програмного забезпечення та даних;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перевірка цілісності та коректності функціонування програмних та апаратних засобів захисту (самоконтроль);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забезпечення можливості повернення обчислювальної мережі ЗВІД у відомий захищений стан після відмов або переривання обслуговування;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керування мережевими засобами захисту та функціями захисту активного мережевого обладнання, що входить до складу ЗВІД.</w:t>
      </w:r>
    </w:p>
    <w:p>
      <w:pPr>
        <w:pStyle w:val="ListParagraph"/>
        <w:spacing w:before="60" w:after="60"/>
        <w:ind w:left="567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Вимоги до операторського та технічного супроводження: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Учасник повинен мати власний Центр технічної підтримки, що працює в режимі: 24х7х365 (цілодобово (00:00-24:00) з понеділка по неділю включно, 365 днів на рік) з можливістю звернення по телефону або через веб-сайт, або електронну пошту (e-mail); 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мати можливість надання послуги динамічного розподілу маршрутизації з різноманітним рівнем швидкості до внутрішніх ресурсів Виконавця, та світових ресурсів.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здійснювати постійний моніторинг телекомунікаційних каналів зв’язку, виявлення та усунення причин відхилення від заданих технічних характеристик.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Учасник гарантує максимально допустимий час простою відсутності послуг на місяць – не більше 2 годин. 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мати можливість підтримки протоколу маршрутизації BGP.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забезпечити усунення пошкоджень телекомунікаційної мережі та відновлення доступу до глобальної мережі у термін (далі - нормований час)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 (зареєстрований в Міністерстві юстиції України 21.01.2013 за № 135/22667).</w:t>
      </w:r>
    </w:p>
    <w:p>
      <w:pPr>
        <w:pStyle w:val="ListParagraph"/>
        <w:spacing w:before="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Порядок та строки усунення інцидентів:</w:t>
      </w:r>
    </w:p>
    <w:p>
      <w:pPr>
        <w:pStyle w:val="ListParagraph"/>
        <w:spacing w:before="0" w:after="60"/>
        <w:ind w:left="0" w:firstLine="567"/>
        <w:contextualSpacing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Відсутність надання послуг протягом 15 хвилин вважається інцидентом.</w:t>
      </w:r>
    </w:p>
    <w:p>
      <w:pPr>
        <w:pStyle w:val="Normal"/>
        <w:widowControl w:val="false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У випадку виникнення інцидентів Учасник негайно повідомляє про це представників технічної підтримки Замовника по телефону або за електронною поштою (e-mail). </w:t>
      </w:r>
    </w:p>
    <w:p>
      <w:pPr>
        <w:pStyle w:val="Normal"/>
        <w:widowControl w:val="false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 випадку, якщо інцидент виявлено Замовником, останній негайно повідомляє про це представників технічної підтримки Учасника по телефону або через веб-сайт, або електронну пошту (e-mail).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Початком періоду інциденту вважається виявлена Учасником або Замовником відсутність надання Послуг.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Строк усунення інцидентів, які виникли з вини Учасника, не повинен перевищувати </w:t>
        <w:br/>
        <w:t>2 (дві) години.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Порядок та строки усунення інцидентів, що виникли з вини Замовника, погоджується Сторонами в кожному окремому випадку. 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Завершенням періоду інциденту вважається час фактичного усунення інциденту та відновлення Послуг.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Про факт відновлення Послуг Учасник повідомляє Замовника по телефону та дублює повідомлення через веб-сайт або електронну пошту (e-mail). На повідомлення Учасника Замовник підтверджує чи не підтверджує факт відновлення надання Послуг.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Замовник зобов’язується надавати персоналу Учасника доступ до приміщень Замовника, необхідного телекомунікаційного обладнання, що забезпечує надання Послуг та розміщене </w:t>
      </w:r>
      <w:r>
        <w:rPr>
          <w:rFonts w:eastAsia="Times New Roman" w:cs="Times New Roman"/>
          <w:b w:val="false"/>
          <w:bCs w:val="false"/>
          <w:iCs/>
          <w:color w:val="000000"/>
          <w:kern w:val="0"/>
          <w:sz w:val="28"/>
          <w:szCs w:val="28"/>
          <w:highlight w:val="white"/>
          <w:lang w:val="uk-UA" w:eastAsia="ru-RU" w:bidi="ar-SA"/>
        </w:rPr>
        <w:t>в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 приміщеннях Замовника, для виконання робіт по відновленню Послуг.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Для отримання необхідного доступу до приміщень Замовника, Учасник надсилає листа з переліком працівників, які будуть виконувати роботи. Оператор пред’являє Замовнику службові посвідчення та направлення на виконання робіт.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Замовник має право отримувати інформацію про хід виконання робіт по відновленню Послуг шляхом звернення до представників технічної підтримки Учасника.</w:t>
      </w:r>
    </w:p>
    <w:p>
      <w:pPr>
        <w:pStyle w:val="Normal"/>
        <w:suppressAutoHyphens w:val="false"/>
        <w:spacing w:before="60" w:after="0"/>
        <w:ind w:firstLine="567"/>
        <w:jc w:val="both"/>
        <w:rPr>
          <w:color w:val="000000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При надходженні заявки про інцидент (відсутність Послуги з вини Учасника), при перевищені строку відновлення надання Послуги понад нормований час, повинно бути припинене нарахування абонентської плати за період з моменту подачі заявки до відновлення надання Послуги у повному обсязі.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6. Очікувана вартість предмета закупівлі:  </w:t>
      </w:r>
      <w:r>
        <w:rPr>
          <w:rStyle w:val="Style20"/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39965,20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грн. (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Тридцять дев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’ять тисяч дев’ятсот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шістдесят п’ять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гривень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0 копійок) з ПДВ.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7. Обґрунтування очікуваної вартості предмета закупівлі: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rFonts w:eastAsia="Times New Roman" w:cs="Times New Roman"/>
          <w:b w:val="false"/>
          <w:bCs/>
          <w:color w:val="000000"/>
          <w:kern w:val="0"/>
          <w:sz w:val="28"/>
          <w:szCs w:val="28"/>
          <w:lang w:val="uk-UA" w:eastAsia="ru-RU" w:bidi="ar-SA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zh-CN" w:bidi="ar-SA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.</w:t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styleId="Style20">
    <w:name w:val="Виділення жирним"/>
    <w:qFormat/>
    <w:rPr>
      <w:b/>
      <w:bCs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Arial"/>
    </w:rPr>
  </w:style>
  <w:style w:type="paragraph" w:styleId="Style26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7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8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9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9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30">
    <w:name w:val="Верхній і нижній колонтитули"/>
    <w:basedOn w:val="Normal"/>
    <w:qFormat/>
    <w:pPr/>
    <w:rPr/>
  </w:style>
  <w:style w:type="paragraph" w:styleId="Style31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2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3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4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5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6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7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paragraph" w:styleId="112">
    <w:name w:val="Без интервала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4"/>
      <w:szCs w:val="22"/>
      <w:lang w:val="uk-UA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LibreOffice/6.4.4.2$Windows_X86_64 LibreOffice_project/3d775be2011f3886db32dfd395a6a6d1ca2630ff</Application>
  <Pages>5</Pages>
  <Words>1479</Words>
  <Characters>10364</Characters>
  <CharactersWithSpaces>11784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2023-03-08T12:33:39Z</cp:lastPrinted>
  <dcterms:modified xsi:type="dcterms:W3CDTF">2023-04-06T12:53:37Z</dcterms:modified>
  <cp:revision>14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