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9B" w:rsidRPr="00DE033E" w:rsidRDefault="00037451" w:rsidP="000374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A0079">
        <w:rPr>
          <w:rFonts w:ascii="Times New Roman" w:eastAsia="Times New Roman" w:hAnsi="Times New Roman" w:cs="Times New Roman"/>
          <w:b/>
          <w:sz w:val="28"/>
          <w:szCs w:val="28"/>
        </w:rPr>
        <w:t>Переміщення громадянами через митний кордон України трун з тілами (урн з прахом) чи останків померлих</w:t>
      </w:r>
    </w:p>
    <w:p w:rsidR="00037451" w:rsidRPr="00DE033E" w:rsidRDefault="00037451" w:rsidP="0003745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4F1D" w:rsidRPr="00934F1D" w:rsidRDefault="00934F1D" w:rsidP="00934F1D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частини восьмої статті 365 Митного кодексу України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EE1640" w:rsidRP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ереміщення громадянами через митний кордон України трун з тілами (урн з прахом) чи останків померлих здійснюється на підставі письмової заяви цих громадян довільної форми та документ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ів, визначених Законом України </w:t>
      </w:r>
      <w:r w:rsidR="00DE033E" w:rsidRPr="0093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 10 липня 2003 року № 1102-IV 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E1640" w:rsidRP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поховання та похоронну справу»</w:t>
      </w:r>
      <w:r w:rsidR="00EA0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4F1D" w:rsidRPr="00934F1D" w:rsidRDefault="00EA0079" w:rsidP="00934F1D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!!! 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34F1D" w:rsidRPr="0093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итне оформлення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тіл померлих</w:t>
      </w:r>
      <w:r w:rsidR="00934F1D" w:rsidRPr="0093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34F1D" w:rsidRPr="0093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урн з прахом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34F1D" w:rsidRPr="0093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що переміщуються через митний кордон України, здійснюється в пунктах пропуску через державний кордон України.</w:t>
      </w:r>
    </w:p>
    <w:p w:rsidR="00934F1D" w:rsidRPr="00CF371D" w:rsidRDefault="00934F1D" w:rsidP="00934F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Статтею 22 Закону України «Про поховання та похоронну справу» встановлено, що </w:t>
      </w:r>
      <w:r w:rsid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ереміщення тіл померлих через державний кордон України (у тому числі переміщення через територію України транзи</w:t>
      </w:r>
      <w:r w:rsid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том) здійснюється за умови пред</w:t>
      </w:r>
      <w:r w:rsidR="00CF371D"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’явлення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митному органу особою, яка переміщує (супроводжує) тіло померлого, таких документів: </w:t>
      </w:r>
    </w:p>
    <w:p w:rsidR="00934F1D" w:rsidRPr="00CF371D" w:rsidRDefault="00934F1D" w:rsidP="00934F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свідоцтва про смерть або іншого документа, що засвідчує факт смерті, виданого компетентним органом; </w:t>
      </w:r>
    </w:p>
    <w:p w:rsidR="00934F1D" w:rsidRPr="00CF371D" w:rsidRDefault="00934F1D" w:rsidP="00934F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довідки про те, що в тілі та труні (урні) немає вкладень, переміщення яких через державний кордон України заборо</w:t>
      </w:r>
      <w:r w:rsidR="00EE1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нено. Таку довідку видає судово-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 експерт у присутності посадової особ</w:t>
      </w:r>
      <w:r w:rsidR="00EE16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відповідного митного органу – 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разі вив</w:t>
      </w:r>
      <w:r w:rsid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езення труни (урни) за кордон</w:t>
      </w:r>
      <w:r w:rsidR="00EE16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відповідний компетентний орган інозем</w:t>
      </w:r>
      <w:bookmarkStart w:id="0" w:name="_GoBack"/>
      <w:bookmarkEnd w:id="0"/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держави з легалізацією такої довідки консульською чи дипломатичною </w:t>
      </w:r>
      <w:r w:rsidR="00CF371D"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установою України за кордоном –</w:t>
      </w:r>
      <w:r w:rsid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ввезення труни (урни) на територію України</w:t>
      </w:r>
      <w:r w:rsidR="00DE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033E" w:rsidRPr="00DE033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третій частини першої</w:t>
      </w:r>
      <w:r w:rsidR="00DE0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4F1D" w:rsidRPr="00CF371D" w:rsidRDefault="00934F1D" w:rsidP="00934F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Тіло померлого повинне вміщуватися в металеву герметичну труну (урну), яка опечатується посадовими особами, зазначеними в абзаці третьому частини першої </w:t>
      </w:r>
      <w:r w:rsidR="00F0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22 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Закону України «</w:t>
      </w:r>
      <w:r w:rsidR="00EE1640" w:rsidRP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EE1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поховання та похоронну справу».</w:t>
      </w:r>
    </w:p>
    <w:p w:rsidR="00934F1D" w:rsidRPr="00CF371D" w:rsidRDefault="00934F1D" w:rsidP="00934F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 труни (урни) можливе у виняткових випадках за наявності достовірної інформації щодо вкладень, переміщення яких через державний кордон України заборонено. Розкриття здійснюється в спеціальному пр</w:t>
      </w:r>
      <w:r w:rsid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иміщенні закладу охорони здоров</w:t>
      </w:r>
      <w:r w:rsidR="00CF371D"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>’я</w:t>
      </w:r>
      <w:r w:rsidRPr="00CF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 присутності посадової особи митного органу та особи, яка супроводжує труну (урну), або представника підприємства, який здійснює перевезення, а також інших осіб у випадках, передбачених законом, з дотриманням вимог санітарно-епідеміологічного законодавства України.</w:t>
      </w:r>
    </w:p>
    <w:p w:rsidR="00934F1D" w:rsidRDefault="00934F1D" w:rsidP="00037451">
      <w:pPr>
        <w:widowControl w:val="0"/>
        <w:tabs>
          <w:tab w:val="left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40" w:rsidRPr="005C73F2" w:rsidRDefault="00EE1640" w:rsidP="00037451">
      <w:pPr>
        <w:widowControl w:val="0"/>
        <w:tabs>
          <w:tab w:val="left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r w:rsidR="00D10459"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0459" w:rsidRPr="005C73F2" w:rsidRDefault="005C73F2" w:rsidP="00037451">
      <w:pPr>
        <w:widowControl w:val="0"/>
        <w:tabs>
          <w:tab w:val="left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10459"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459"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r w:rsidR="00D10459"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10459"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атестованих судових експертів</w:t>
      </w:r>
      <w:r w:rsidR="00D10459"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можна ознайомитись </w:t>
      </w:r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офіційному </w:t>
      </w:r>
      <w:proofErr w:type="spellStart"/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юстиції України</w:t>
      </w:r>
      <w:r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посиланням: </w:t>
      </w:r>
      <w:r w:rsidRPr="005C73F2">
        <w:rPr>
          <w:rStyle w:val="xfm10778579"/>
          <w:rFonts w:ascii="Times New Roman" w:hAnsi="Times New Roman" w:cs="Times New Roman"/>
          <w:sz w:val="24"/>
          <w:szCs w:val="24"/>
        </w:rPr>
        <w:t>https://rase.minjust.gov.ua</w:t>
      </w:r>
      <w:r w:rsidR="00EA0079">
        <w:rPr>
          <w:rStyle w:val="xfm10778579"/>
          <w:rFonts w:ascii="Times New Roman" w:hAnsi="Times New Roman" w:cs="Times New Roman"/>
          <w:sz w:val="24"/>
          <w:szCs w:val="24"/>
        </w:rPr>
        <w:t>;</w:t>
      </w:r>
    </w:p>
    <w:p w:rsidR="00037451" w:rsidRPr="005C73F2" w:rsidRDefault="005C73F2" w:rsidP="005C73F2">
      <w:pPr>
        <w:widowControl w:val="0"/>
        <w:tabs>
          <w:tab w:val="left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10459"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переліком дипломатичних установ України за кордоном можна ознайомитись </w:t>
      </w:r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офіційному </w:t>
      </w:r>
      <w:proofErr w:type="spellStart"/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r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закордонних справ</w:t>
      </w:r>
      <w:r w:rsidRPr="0003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459" w:rsidRPr="005C73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анням: </w:t>
      </w:r>
      <w:r w:rsidRPr="005C73F2">
        <w:rPr>
          <w:rStyle w:val="xfm10778579"/>
          <w:rFonts w:ascii="Times New Roman" w:hAnsi="Times New Roman" w:cs="Times New Roman"/>
          <w:sz w:val="24"/>
          <w:szCs w:val="24"/>
        </w:rPr>
        <w:t>https://mfa.gov.ua/diplomatichni-ustanovi/inozemni-diplomatichni-ustanovi-v-ukrayini.</w:t>
      </w:r>
    </w:p>
    <w:sectPr w:rsidR="00037451" w:rsidRPr="005C73F2" w:rsidSect="00464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11"/>
    <w:rsid w:val="0001162F"/>
    <w:rsid w:val="00037451"/>
    <w:rsid w:val="00464C71"/>
    <w:rsid w:val="005C73F2"/>
    <w:rsid w:val="007A4F9B"/>
    <w:rsid w:val="008F1711"/>
    <w:rsid w:val="00934F1D"/>
    <w:rsid w:val="00C61CD9"/>
    <w:rsid w:val="00CF371D"/>
    <w:rsid w:val="00D10459"/>
    <w:rsid w:val="00DE033E"/>
    <w:rsid w:val="00EA0079"/>
    <w:rsid w:val="00EE1640"/>
    <w:rsid w:val="00F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10778579">
    <w:name w:val="xfm_10778579"/>
    <w:basedOn w:val="a0"/>
    <w:rsid w:val="005C7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10778579">
    <w:name w:val="xfm_10778579"/>
    <w:basedOn w:val="a0"/>
    <w:rsid w:val="005C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2023-05-11T08:48:00Z</cp:lastPrinted>
  <dcterms:created xsi:type="dcterms:W3CDTF">2023-05-10T06:16:00Z</dcterms:created>
  <dcterms:modified xsi:type="dcterms:W3CDTF">2023-05-11T08:50:00Z</dcterms:modified>
</cp:coreProperties>
</file>