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623D16A8" w14:textId="120434C9" w:rsidR="00217E30" w:rsidRPr="00D93FCE" w:rsidRDefault="002B72AC" w:rsidP="00217E30">
      <w:pPr>
        <w:jc w:val="both"/>
        <w:rPr>
          <w:rFonts w:ascii="Times New Roman" w:hAnsi="Times New Roman" w:cs="Times New Roman"/>
          <w:sz w:val="24"/>
          <w:szCs w:val="24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bookmarkStart w:id="0" w:name="_GoBack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Коригування проектної документації об’єкта «Реконструкція автомобільного пункту пропуску «</w:t>
      </w:r>
      <w:proofErr w:type="spellStart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Дяківці</w:t>
      </w:r>
      <w:proofErr w:type="spellEnd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bookmarkEnd w:id="0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Чернівецької області: за адресою Чернівецька область, </w:t>
      </w:r>
      <w:proofErr w:type="spellStart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Герцаївський</w:t>
      </w:r>
      <w:proofErr w:type="spellEnd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район, село </w:t>
      </w:r>
      <w:proofErr w:type="spellStart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Дяківці</w:t>
      </w:r>
      <w:proofErr w:type="spellEnd"/>
      <w:r w:rsidR="003D2996" w:rsidRPr="003D2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урочище «Таможня» ДК 021:2015 – 71240000-2 Архітектурні, інженерні та планувальні послуги»</w:t>
      </w:r>
    </w:p>
    <w:p w14:paraId="7A512DE2" w14:textId="29C8D55E" w:rsidR="00451A8F" w:rsidRPr="00451A8F" w:rsidRDefault="00217E30" w:rsidP="00217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62364F" w14:textId="149C607F" w:rsidR="00451A8F" w:rsidRDefault="002B72AC" w:rsidP="003D299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D2996"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>«Коригування проектної документації об’єкта «</w:t>
      </w:r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Реконструкція</w:t>
      </w:r>
      <w:r w:rsidR="003D2996"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автомобільного пункту пропуску «</w:t>
      </w:r>
      <w:proofErr w:type="spellStart"/>
      <w:r w:rsidR="003D2996"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="003D2996"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Чернівецької області: за адресою Чернівецька область, </w:t>
      </w:r>
      <w:proofErr w:type="spellStart"/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>Герцаївський</w:t>
      </w:r>
      <w:proofErr w:type="spellEnd"/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>, урочище «Таможня»</w:t>
      </w:r>
      <w:r w:rsidR="003D2996"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ДК 021:2015 – 71240000-2 Архітектурні, інженерні та планувальні послуги»</w:t>
      </w:r>
    </w:p>
    <w:p w14:paraId="6425AE4B" w14:textId="77777777" w:rsidR="003D2996" w:rsidRDefault="003D2996" w:rsidP="003D29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1CED7A" w14:textId="77777777" w:rsidR="00D93864" w:rsidRPr="00D93864" w:rsidRDefault="002B72AC" w:rsidP="003D2996">
      <w:pPr>
        <w:spacing w:after="0" w:line="240" w:lineRule="auto"/>
        <w:jc w:val="both"/>
        <w:rPr>
          <w:rFonts w:ascii="Calibri" w:hAnsi="Calibri" w:cs="Calibri"/>
          <w:b/>
          <w:shd w:val="clear" w:color="auto" w:fill="FFFFFF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3D2996" w:rsidRPr="003D2996">
        <w:rPr>
          <w:rFonts w:ascii="Times New Roman" w:eastAsia="Times New Roman" w:hAnsi="Times New Roman" w:cs="Times New Roman"/>
          <w:sz w:val="24"/>
          <w:szCs w:val="24"/>
        </w:rPr>
        <w:t>Закупівля здійснюється без застосування відкритих торгів та/або електронного каталогу для закупівлі товару відповідно до підпункту 5 (4)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</w:t>
      </w:r>
      <w:r w:rsidR="003D2996" w:rsidRP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2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501A" w:rsidRPr="007F3D00">
        <w:rPr>
          <w:rFonts w:ascii="Times New Roman" w:hAnsi="Times New Roman" w:cs="Times New Roman"/>
          <w:sz w:val="24"/>
          <w:szCs w:val="24"/>
        </w:rPr>
        <w:t>ід.</w:t>
      </w:r>
      <w:r w:rsidR="00D93864">
        <w:rPr>
          <w:rFonts w:ascii="Times New Roman" w:hAnsi="Times New Roman" w:cs="Times New Roman"/>
          <w:sz w:val="24"/>
          <w:szCs w:val="24"/>
        </w:rPr>
        <w:t xml:space="preserve"> </w:t>
      </w:r>
      <w:r w:rsidR="00D93864">
        <w:br/>
      </w:r>
      <w:r w:rsidR="00D93864" w:rsidRPr="00D93864">
        <w:rPr>
          <w:rFonts w:ascii="Calibri" w:hAnsi="Calibri" w:cs="Calibri"/>
          <w:b/>
          <w:shd w:val="clear" w:color="auto" w:fill="FFFFFF"/>
        </w:rPr>
        <w:t>UA-P-2023-06-26-004119-a</w:t>
      </w:r>
    </w:p>
    <w:p w14:paraId="39007B5A" w14:textId="77777777" w:rsidR="00D93864" w:rsidRPr="00D93864" w:rsidRDefault="00D93864" w:rsidP="003D2996">
      <w:pPr>
        <w:spacing w:after="0" w:line="240" w:lineRule="auto"/>
        <w:jc w:val="both"/>
        <w:rPr>
          <w:rFonts w:ascii="Calibri" w:hAnsi="Calibri" w:cs="Calibri"/>
          <w:b/>
          <w:shd w:val="clear" w:color="auto" w:fill="FFFFFF"/>
        </w:rPr>
      </w:pPr>
    </w:p>
    <w:p w14:paraId="62A954B4" w14:textId="3AC92B6C" w:rsidR="003D2996" w:rsidRPr="00046E1E" w:rsidRDefault="00D93864" w:rsidP="003D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864">
        <w:rPr>
          <w:rFonts w:ascii="Calibri" w:hAnsi="Calibri" w:cs="Calibri"/>
          <w:b/>
          <w:shd w:val="clear" w:color="auto" w:fill="FFFFFF"/>
        </w:rPr>
        <w:t>Оч</w:t>
      </w:r>
      <w:r w:rsidR="002B72AC" w:rsidRPr="00D93864">
        <w:rPr>
          <w:rFonts w:ascii="Times New Roman" w:hAnsi="Times New Roman" w:cs="Times New Roman"/>
          <w:b/>
          <w:sz w:val="24"/>
          <w:szCs w:val="24"/>
        </w:rPr>
        <w:t>ікувана вартість та обґрунтування очікуваної вартості предмета закупівлі</w:t>
      </w:r>
      <w:r w:rsidR="002B72AC" w:rsidRPr="00D938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D93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96" w:rsidRPr="00D93864">
        <w:rPr>
          <w:rFonts w:ascii="Times New Roman" w:hAnsi="Times New Roman" w:cs="Times New Roman"/>
          <w:b/>
          <w:sz w:val="24"/>
          <w:szCs w:val="24"/>
        </w:rPr>
        <w:t>701802.00</w:t>
      </w:r>
      <w:r w:rsidR="005B6803" w:rsidRPr="00D93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4C0" w:rsidRPr="00D93864">
        <w:rPr>
          <w:rFonts w:ascii="Times New Roman" w:hAnsi="Times New Roman" w:cs="Times New Roman"/>
          <w:b/>
          <w:sz w:val="24"/>
          <w:szCs w:val="24"/>
        </w:rPr>
        <w:t>грн</w:t>
      </w:r>
      <w:r w:rsidR="008D7F96" w:rsidRPr="00D93864">
        <w:rPr>
          <w:rFonts w:ascii="Times New Roman" w:hAnsi="Times New Roman" w:cs="Times New Roman"/>
          <w:b/>
          <w:sz w:val="24"/>
          <w:szCs w:val="24"/>
        </w:rPr>
        <w:t xml:space="preserve"> UAH</w:t>
      </w:r>
      <w:r w:rsidR="007471B4" w:rsidRPr="00D93864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8D7F96">
        <w:rPr>
          <w:rFonts w:ascii="Times New Roman" w:hAnsi="Times New Roman" w:cs="Times New Roman"/>
          <w:sz w:val="24"/>
          <w:szCs w:val="24"/>
        </w:rPr>
        <w:t>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9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D2996" w:rsidRPr="00046E1E">
        <w:rPr>
          <w:rFonts w:ascii="Times New Roman" w:eastAsia="Times New Roman" w:hAnsi="Times New Roman" w:cs="Times New Roman"/>
          <w:sz w:val="24"/>
          <w:szCs w:val="24"/>
        </w:rPr>
        <w:t xml:space="preserve">Доручення ДМСУ від 31.03.2023 №40-22/1-Д </w:t>
      </w:r>
      <w:r w:rsidR="003D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996" w:rsidRPr="00046E1E">
        <w:rPr>
          <w:rFonts w:ascii="Times New Roman" w:eastAsia="Times New Roman" w:hAnsi="Times New Roman" w:cs="Times New Roman"/>
          <w:sz w:val="24"/>
          <w:szCs w:val="24"/>
        </w:rPr>
        <w:t xml:space="preserve">із спецфонду ДМСУ </w:t>
      </w:r>
      <w:r w:rsidR="003D2996">
        <w:rPr>
          <w:rFonts w:ascii="Times New Roman" w:eastAsia="Times New Roman" w:hAnsi="Times New Roman" w:cs="Times New Roman"/>
          <w:sz w:val="24"/>
          <w:szCs w:val="24"/>
        </w:rPr>
        <w:t xml:space="preserve">виділено кошти на проведення робіт по Закупівлі на суму 701802.00 грн. </w:t>
      </w:r>
    </w:p>
    <w:p w14:paraId="0EBCDB7D" w14:textId="2EDC8ABD" w:rsidR="007471B4" w:rsidRPr="008D7F96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F3E69" w14:textId="77777777" w:rsidR="00FA4BBA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3322D" w14:textId="77777777" w:rsidR="003D2996" w:rsidRPr="007F3D00" w:rsidRDefault="003D2996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E1D2CBF" w14:textId="77777777" w:rsidR="003D2996" w:rsidRPr="00634E98" w:rsidRDefault="003D2996" w:rsidP="003D299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634E98">
        <w:rPr>
          <w:rFonts w:ascii="Times New Roman" w:hAnsi="Times New Roman" w:cs="Times New Roman"/>
          <w:color w:val="454545"/>
          <w:sz w:val="24"/>
          <w:szCs w:val="24"/>
        </w:rPr>
        <w:t xml:space="preserve">Частиною 1 ст. 11 Закону України «Про авторське право та суміжні права», визначено, що первинним суб’єктом, якому належить авторське право, є автор твору. Ст. 433 Цивільного Кодексу України також визначено, що об’єктом авторського права є твори архітектури. Законом України «Про авторське право та суміжні права» визначено, що твір архітектури – твір у галузі мистецтва спорудження будівель і ландшафтних утворень (креслення, ескізи, моделі, збудовані будівлі та споруди, парки, плани населених пунктів тощо). У відповідності до ст. 15 Закону України «Про авторське право та суміжні права» - до майнових прав автора (чи іншої особи, яка має авторське право) належать: а) виключне право на використання твору; б) виключне право на дозвіл або заборону використання твору іншими особами. Майнові права автора (чи іншої особи, яка має авторське право) можуть бути передані (відчужені) іншій особі згідно з положеннями статті 31 цього Закону, після чого ця особа стає суб’єктом авторського права. </w:t>
      </w:r>
    </w:p>
    <w:p w14:paraId="604A5E39" w14:textId="77777777" w:rsidR="003D2996" w:rsidRPr="00634E98" w:rsidRDefault="003D2996" w:rsidP="003D299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634E98">
        <w:rPr>
          <w:rFonts w:ascii="Times New Roman" w:hAnsi="Times New Roman" w:cs="Times New Roman"/>
          <w:color w:val="454545"/>
          <w:sz w:val="24"/>
          <w:szCs w:val="24"/>
        </w:rPr>
        <w:t xml:space="preserve">            Ст. 1 Закону України «Про архітектурну діяльність» визначено, що проект – документація для будівництва об'єктів архітектури, що складається з креслень, графічних і </w:t>
      </w:r>
      <w:r w:rsidRPr="00634E98">
        <w:rPr>
          <w:rFonts w:ascii="Times New Roman" w:hAnsi="Times New Roman" w:cs="Times New Roman"/>
          <w:color w:val="454545"/>
          <w:sz w:val="24"/>
          <w:szCs w:val="24"/>
        </w:rPr>
        <w:lastRenderedPageBreak/>
        <w:t xml:space="preserve">текстових матеріалів, інженерних і кошторисних розрахунків, які визначають містобудівні, об'ємно-планувальні, архітектурні, конструктивні, технічні та технологічні рішення, вартісні показники конкретного об'єкта архітектури, та відповідає вимогам державних стандартів, будівельних норм і правил; а об'єкти архітектурної діяльності (об'єкти архітектури) – будинки і споруди житлово-цивільного, комунального, промислового та іншого призначення, їх комплекси, об'єкти благоустрою, садово-паркової та ландшафтної архітектури, монументального і монументально-декоративного мистецтва, території (частини територій) адміністративно-територіальних одиниць і населених пунктів. </w:t>
      </w:r>
    </w:p>
    <w:p w14:paraId="200D8B73" w14:textId="77777777" w:rsidR="003D2996" w:rsidRPr="00634E98" w:rsidRDefault="003D2996" w:rsidP="003D299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634E98">
        <w:rPr>
          <w:rFonts w:ascii="Times New Roman" w:hAnsi="Times New Roman" w:cs="Times New Roman"/>
          <w:color w:val="454545"/>
          <w:sz w:val="24"/>
          <w:szCs w:val="24"/>
        </w:rPr>
        <w:t xml:space="preserve">            Таким чином, враховуючи вищезазначене, розроблена проектна документація (проект) об’єктів архітектури є твором архітектури та підпадає під охорону (захист), як немайнове право автору, пов’язане із створенням та використанням твору архітектури, в рамках дії Цивільного Кодексу України, Закону України «Про авторське право та суміжні права» та інших законодавчих актів. У відповідності до наказу Міністерства регіонального розвитку, будівництва та житлово-комунального господарства України від 16.05.2011р. №45, зареєстрованого в Міністерстві юстиції України 01 червня 2011 р. за №651/19389 «Про затвердження Порядку розроблення проектної документації на будівництво об'єктів» встановлено, що коригування проектної документації – внесення змін до затвердженого (схваленого) проекту будівництва на підставі завдання на коригування. </w:t>
      </w:r>
    </w:p>
    <w:p w14:paraId="42AB6CFB" w14:textId="77777777" w:rsidR="003D2996" w:rsidRPr="00634E98" w:rsidRDefault="003D2996" w:rsidP="003D299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634E98">
        <w:rPr>
          <w:rFonts w:ascii="Times New Roman" w:hAnsi="Times New Roman" w:cs="Times New Roman"/>
          <w:color w:val="454545"/>
          <w:sz w:val="24"/>
          <w:szCs w:val="24"/>
        </w:rPr>
        <w:t xml:space="preserve">             Тому при коригуванні іншою проектною організацією проектної документації по об’єкту, унеможливлюється використання та врахування раніше розроблених проектних рішень, що, в свою чергу, і призведе до несумісності виконаних додаткових робіт до наявного проекту. </w:t>
      </w:r>
    </w:p>
    <w:p w14:paraId="4580A77C" w14:textId="77777777" w:rsidR="003D2996" w:rsidRPr="00634E98" w:rsidRDefault="003D2996" w:rsidP="003D299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634E98">
        <w:rPr>
          <w:rFonts w:ascii="Times New Roman" w:hAnsi="Times New Roman" w:cs="Times New Roman"/>
          <w:color w:val="454545"/>
          <w:sz w:val="24"/>
          <w:szCs w:val="24"/>
        </w:rPr>
        <w:t xml:space="preserve">              Відповідно до абзацу 5 ст.30 Закону України «Про архітектурну діяльність» автор проекту твору архітектури, містобудування, садово-паркового мистецтва має виключне право на участь у подальшій його реалізації, якщо інше не передбачено умовами договору із замовником або юридичною чи фізичною особою, де або в якої він працює, а також на внесення змін до не завершеного будівництвом чи збудованого твору архітектури, містобудування, садово-паркового мистецтва у разі зміни його функціонального призначення чи реконструкції. </w:t>
      </w:r>
    </w:p>
    <w:p w14:paraId="73A612C4" w14:textId="77777777" w:rsidR="003D2996" w:rsidRPr="00046E1E" w:rsidRDefault="003D2996" w:rsidP="003D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46E1E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Доручення ДМСУ від 31.03.2023 №40-22/1-Д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E1E">
        <w:rPr>
          <w:rFonts w:ascii="Times New Roman" w:eastAsia="Times New Roman" w:hAnsi="Times New Roman" w:cs="Times New Roman"/>
          <w:sz w:val="24"/>
          <w:szCs w:val="24"/>
        </w:rPr>
        <w:t xml:space="preserve">із спецфонду ДМСУ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виділено кошти на проведення робіт по Закупівлі на суму 701802.00 грн. </w:t>
      </w:r>
    </w:p>
    <w:p w14:paraId="452AD76C" w14:textId="77777777" w:rsidR="003D2996" w:rsidRDefault="003D2996" w:rsidP="003D2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23.06.2023 на адресу митниці надійшов лист від 22.06.2023 №29 ПП «Проект – центр» про підтвердження, що саме ПП «Проект-центр» є автором проекту з коригування проектної документації </w:t>
      </w:r>
      <w:r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Реконструкція</w:t>
      </w:r>
      <w:r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автомобільного пункту пропуску «</w:t>
      </w:r>
      <w:proofErr w:type="spellStart"/>
      <w:r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Pr="0063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Чернівецької області: за адресою Чернівецька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Герцаївський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урочище «Таможня». Крім того до даного листа доданий наказ ПП «Проект центр» №9 від 01.09.2021, договір на здійснення авторського нагляду №47 від 05.11.2021, договір №329 на виготовлення проектної документації від 02.06.2021. </w:t>
      </w:r>
    </w:p>
    <w:p w14:paraId="17972B92" w14:textId="77777777" w:rsidR="003D2996" w:rsidRDefault="003D2996" w:rsidP="003D2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F31A5" w14:textId="77777777" w:rsidR="003D2996" w:rsidRDefault="003D2996" w:rsidP="003D2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огляду на викладене наявні всі підстави для застосування замовником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 w:rsidRPr="00634E9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4E98">
        <w:rPr>
          <w:rFonts w:ascii="Times New Roman" w:eastAsia="Times New Roman" w:hAnsi="Times New Roman" w:cs="Times New Roman"/>
          <w:sz w:val="24"/>
          <w:szCs w:val="24"/>
        </w:rPr>
        <w:t>абзац 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4E98">
        <w:rPr>
          <w:rFonts w:ascii="Times New Roman" w:eastAsia="Times New Roman" w:hAnsi="Times New Roman" w:cs="Times New Roman"/>
          <w:sz w:val="24"/>
          <w:szCs w:val="24"/>
        </w:rPr>
        <w:t xml:space="preserve"> пункту 13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положень</w:t>
      </w:r>
      <w:r w:rsidRPr="0063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E98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C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укласти прямий договір із ПП «Проект-центр» без</w:t>
      </w:r>
      <w:r w:rsidRPr="00634E98">
        <w:rPr>
          <w:rFonts w:ascii="Times New Roman" w:eastAsia="Times New Roman" w:hAnsi="Times New Roman" w:cs="Times New Roman"/>
          <w:sz w:val="24"/>
          <w:szCs w:val="24"/>
        </w:rPr>
        <w:t xml:space="preserve">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043DC" w14:textId="77777777" w:rsidR="003D2996" w:rsidRDefault="003D2996" w:rsidP="003D2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0F299" w14:textId="77777777" w:rsidR="00217E30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p w14:paraId="0C03F22D" w14:textId="77777777" w:rsidR="00217E30" w:rsidRPr="00E17DF3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sectPr w:rsidR="00217E30" w:rsidRPr="00E17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4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2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5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14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071264"/>
    <w:rsid w:val="001D7739"/>
    <w:rsid w:val="00217E30"/>
    <w:rsid w:val="0024461B"/>
    <w:rsid w:val="002B72AC"/>
    <w:rsid w:val="003D2996"/>
    <w:rsid w:val="00410F8E"/>
    <w:rsid w:val="00451A8F"/>
    <w:rsid w:val="004E5C3C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8E5468"/>
    <w:rsid w:val="00974EA7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D93864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B612F-57B8-4492-8E0F-A874B60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99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2023-06-28T12:30:00Z</dcterms:created>
  <dcterms:modified xsi:type="dcterms:W3CDTF">2023-06-28T12:30:00Z</dcterms:modified>
</cp:coreProperties>
</file>