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EF4CD6" w:rsidRDefault="006E0648" w:rsidP="006E0648">
      <w:pPr>
        <w:contextualSpacing/>
        <w:jc w:val="center"/>
        <w:rPr>
          <w:b/>
          <w:sz w:val="28"/>
          <w:szCs w:val="28"/>
        </w:rPr>
      </w:pPr>
      <w:r w:rsidRPr="00EF4CD6">
        <w:rPr>
          <w:b/>
          <w:sz w:val="28"/>
          <w:szCs w:val="28"/>
        </w:rPr>
        <w:t>ОБҐРУНТУВАННЯ ТЕХНІЧНИХ ТА ЯКІСНИХ ХАРАКТЕРИСТИК ПРЕДМЕТА</w:t>
      </w:r>
      <w:r w:rsidRPr="00EF4CD6">
        <w:rPr>
          <w:b/>
          <w:sz w:val="28"/>
          <w:szCs w:val="28"/>
          <w:lang w:val="ru-RU"/>
        </w:rPr>
        <w:t xml:space="preserve"> </w:t>
      </w:r>
      <w:r w:rsidRPr="00EF4CD6">
        <w:rPr>
          <w:b/>
          <w:sz w:val="28"/>
          <w:szCs w:val="28"/>
        </w:rPr>
        <w:t>ЗАКУПІВЛІ, РОЗМІРУ БЮДЖЕТНОГО ПРИЗНАЧЕННЯ, ОЧІКУВАНОЇ</w:t>
      </w:r>
      <w:r w:rsidRPr="00EF4CD6">
        <w:rPr>
          <w:b/>
          <w:sz w:val="28"/>
          <w:szCs w:val="28"/>
          <w:lang w:val="ru-RU"/>
        </w:rPr>
        <w:t xml:space="preserve"> </w:t>
      </w:r>
      <w:r w:rsidRPr="00EF4CD6">
        <w:rPr>
          <w:b/>
          <w:sz w:val="28"/>
          <w:szCs w:val="28"/>
        </w:rPr>
        <w:t>ВАРТОСТІ ПРЕДМЕТА ЗАКУПІВЛІ</w:t>
      </w:r>
    </w:p>
    <w:p w:rsidR="007919B9" w:rsidRPr="00EF4CD6" w:rsidRDefault="006E0648" w:rsidP="006E0648">
      <w:pPr>
        <w:contextualSpacing/>
        <w:jc w:val="center"/>
        <w:rPr>
          <w:b/>
          <w:sz w:val="28"/>
          <w:szCs w:val="28"/>
        </w:rPr>
      </w:pPr>
      <w:r w:rsidRPr="00EF4CD6">
        <w:rPr>
          <w:b/>
          <w:sz w:val="28"/>
          <w:szCs w:val="28"/>
        </w:rPr>
        <w:t xml:space="preserve">(відповідно до пункту </w:t>
      </w:r>
      <w:r w:rsidR="00673C61" w:rsidRPr="00EF4CD6">
        <w:rPr>
          <w:b/>
          <w:sz w:val="28"/>
          <w:szCs w:val="28"/>
        </w:rPr>
        <w:t>4</w:t>
      </w:r>
      <w:r w:rsidR="00673C61" w:rsidRPr="00EF4CD6">
        <w:rPr>
          <w:b/>
          <w:sz w:val="28"/>
          <w:szCs w:val="28"/>
          <w:vertAlign w:val="superscript"/>
        </w:rPr>
        <w:t>1</w:t>
      </w:r>
      <w:r w:rsidRPr="00EF4CD6">
        <w:rPr>
          <w:b/>
          <w:sz w:val="28"/>
          <w:szCs w:val="28"/>
        </w:rPr>
        <w:t xml:space="preserve"> постанови КМУ від 11.10.2016 № 710 </w:t>
      </w:r>
    </w:p>
    <w:p w:rsidR="006E0648" w:rsidRPr="00EF4CD6" w:rsidRDefault="006E0648" w:rsidP="006E0648">
      <w:pPr>
        <w:contextualSpacing/>
        <w:jc w:val="center"/>
        <w:rPr>
          <w:b/>
          <w:sz w:val="28"/>
          <w:szCs w:val="28"/>
        </w:rPr>
      </w:pPr>
      <w:r w:rsidRPr="00EF4CD6">
        <w:rPr>
          <w:b/>
          <w:sz w:val="28"/>
          <w:szCs w:val="28"/>
        </w:rPr>
        <w:t>«Про ефективне</w:t>
      </w:r>
      <w:r w:rsidR="007919B9" w:rsidRPr="00EF4CD6">
        <w:rPr>
          <w:b/>
          <w:sz w:val="28"/>
          <w:szCs w:val="28"/>
        </w:rPr>
        <w:t xml:space="preserve"> </w:t>
      </w:r>
      <w:r w:rsidRPr="00EF4CD6">
        <w:rPr>
          <w:b/>
          <w:sz w:val="28"/>
          <w:szCs w:val="28"/>
        </w:rPr>
        <w:t>використання державних коштів» (зі змінами))</w:t>
      </w:r>
    </w:p>
    <w:p w:rsidR="006E0648" w:rsidRPr="00EF4CD6" w:rsidRDefault="006E0648" w:rsidP="006E0648">
      <w:pPr>
        <w:contextualSpacing/>
        <w:jc w:val="center"/>
        <w:rPr>
          <w:b/>
          <w:sz w:val="28"/>
          <w:szCs w:val="28"/>
        </w:rPr>
      </w:pPr>
    </w:p>
    <w:p w:rsidR="006E0648" w:rsidRPr="00EF4CD6" w:rsidRDefault="006E0648" w:rsidP="007919B9">
      <w:pPr>
        <w:ind w:firstLine="567"/>
        <w:contextualSpacing/>
        <w:jc w:val="both"/>
        <w:rPr>
          <w:sz w:val="28"/>
          <w:szCs w:val="28"/>
        </w:rPr>
      </w:pPr>
      <w:r w:rsidRPr="00EF4CD6">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EF4CD6">
        <w:rPr>
          <w:sz w:val="28"/>
          <w:szCs w:val="28"/>
        </w:rPr>
        <w:t>Полтавська митниця; вул. Кукоби Анатолія, буд.</w:t>
      </w:r>
      <w:r w:rsidR="00BE601F" w:rsidRPr="00EF4CD6">
        <w:rPr>
          <w:sz w:val="28"/>
          <w:szCs w:val="28"/>
        </w:rPr>
        <w:t xml:space="preserve"> </w:t>
      </w:r>
      <w:r w:rsidR="00452DA4" w:rsidRPr="00EF4CD6">
        <w:rPr>
          <w:sz w:val="28"/>
          <w:szCs w:val="28"/>
        </w:rPr>
        <w:t>28,</w:t>
      </w:r>
      <w:r w:rsidR="00452DA4" w:rsidRPr="00EF4CD6">
        <w:t xml:space="preserve"> </w:t>
      </w:r>
      <w:r w:rsidR="00452DA4" w:rsidRPr="00EF4CD6">
        <w:rPr>
          <w:sz w:val="28"/>
          <w:szCs w:val="28"/>
        </w:rPr>
        <w:t>м. Полтава</w:t>
      </w:r>
      <w:r w:rsidR="00BE601F" w:rsidRPr="00EF4CD6">
        <w:rPr>
          <w:sz w:val="28"/>
          <w:szCs w:val="28"/>
        </w:rPr>
        <w:t>,</w:t>
      </w:r>
      <w:r w:rsidR="00452DA4" w:rsidRPr="00EF4CD6">
        <w:t xml:space="preserve"> </w:t>
      </w:r>
      <w:r w:rsidR="00452DA4" w:rsidRPr="00EF4CD6">
        <w:rPr>
          <w:sz w:val="28"/>
          <w:szCs w:val="28"/>
        </w:rPr>
        <w:t>Полтавська область,</w:t>
      </w:r>
      <w:r w:rsidR="00452DA4" w:rsidRPr="00EF4CD6">
        <w:t xml:space="preserve"> </w:t>
      </w:r>
      <w:r w:rsidR="00452DA4" w:rsidRPr="00EF4CD6">
        <w:rPr>
          <w:sz w:val="28"/>
          <w:szCs w:val="28"/>
        </w:rPr>
        <w:t>36022</w:t>
      </w:r>
      <w:r w:rsidRPr="00EF4CD6">
        <w:rPr>
          <w:sz w:val="28"/>
          <w:szCs w:val="28"/>
        </w:rPr>
        <w:t xml:space="preserve">; код ЄДРПОУ </w:t>
      </w:r>
      <w:r w:rsidR="006438F8" w:rsidRPr="00EF4CD6">
        <w:rPr>
          <w:sz w:val="28"/>
          <w:szCs w:val="28"/>
        </w:rPr>
        <w:t>ВП:</w:t>
      </w:r>
      <w:r w:rsidRPr="00EF4CD6">
        <w:rPr>
          <w:sz w:val="28"/>
          <w:szCs w:val="28"/>
        </w:rPr>
        <w:t xml:space="preserve"> 43</w:t>
      </w:r>
      <w:r w:rsidR="00BE601F" w:rsidRPr="00EF4CD6">
        <w:rPr>
          <w:sz w:val="28"/>
          <w:szCs w:val="28"/>
        </w:rPr>
        <w:t>9</w:t>
      </w:r>
      <w:r w:rsidRPr="00EF4CD6">
        <w:rPr>
          <w:sz w:val="28"/>
          <w:szCs w:val="28"/>
        </w:rPr>
        <w:t>9</w:t>
      </w:r>
      <w:r w:rsidR="00BE601F" w:rsidRPr="00EF4CD6">
        <w:rPr>
          <w:sz w:val="28"/>
          <w:szCs w:val="28"/>
        </w:rPr>
        <w:t>7576</w:t>
      </w:r>
      <w:r w:rsidRPr="00EF4CD6">
        <w:rPr>
          <w:sz w:val="28"/>
          <w:szCs w:val="28"/>
        </w:rPr>
        <w:t>; категорія замовника – орган державної  влади.</w:t>
      </w:r>
    </w:p>
    <w:p w:rsidR="006E0648" w:rsidRPr="00EF4CD6" w:rsidRDefault="006E0648" w:rsidP="007919B9">
      <w:pPr>
        <w:ind w:firstLine="567"/>
        <w:contextualSpacing/>
        <w:jc w:val="both"/>
        <w:rPr>
          <w:sz w:val="28"/>
          <w:szCs w:val="28"/>
        </w:rPr>
      </w:pPr>
    </w:p>
    <w:p w:rsidR="00006754" w:rsidRPr="00EF4CD6" w:rsidRDefault="006E0648" w:rsidP="00006754">
      <w:pPr>
        <w:ind w:firstLine="567"/>
        <w:contextualSpacing/>
        <w:jc w:val="both"/>
        <w:rPr>
          <w:sz w:val="28"/>
          <w:szCs w:val="28"/>
        </w:rPr>
      </w:pPr>
      <w:r w:rsidRPr="00EF4CD6">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EF4CD6">
        <w:rPr>
          <w:sz w:val="28"/>
          <w:szCs w:val="28"/>
        </w:rPr>
        <w:t>«</w:t>
      </w:r>
      <w:r w:rsidR="00800C2C" w:rsidRPr="00EF4CD6">
        <w:rPr>
          <w:sz w:val="28"/>
          <w:szCs w:val="28"/>
        </w:rPr>
        <w:t>Медичний огляд працівників</w:t>
      </w:r>
      <w:r w:rsidR="00006754" w:rsidRPr="00EF4CD6">
        <w:rPr>
          <w:sz w:val="28"/>
          <w:szCs w:val="28"/>
        </w:rPr>
        <w:t xml:space="preserve">» за кодом ДК 021:2015 </w:t>
      </w:r>
      <w:r w:rsidR="00800C2C" w:rsidRPr="00EF4CD6">
        <w:rPr>
          <w:sz w:val="28"/>
          <w:szCs w:val="28"/>
        </w:rPr>
        <w:t>85140000-2 Послуги у сфері охорони здоров’я різні</w:t>
      </w:r>
      <w:r w:rsidR="00006754" w:rsidRPr="00EF4CD6">
        <w:rPr>
          <w:sz w:val="28"/>
          <w:szCs w:val="28"/>
        </w:rPr>
        <w:t>.</w:t>
      </w:r>
    </w:p>
    <w:p w:rsidR="00006754" w:rsidRPr="00EF4CD6" w:rsidRDefault="00006754" w:rsidP="00006754">
      <w:pPr>
        <w:tabs>
          <w:tab w:val="left" w:pos="360"/>
          <w:tab w:val="left" w:pos="720"/>
        </w:tabs>
        <w:contextualSpacing/>
        <w:jc w:val="both"/>
        <w:rPr>
          <w:rFonts w:eastAsia="Calibri"/>
          <w:sz w:val="28"/>
          <w:szCs w:val="28"/>
        </w:rPr>
      </w:pPr>
    </w:p>
    <w:p w:rsidR="007C2BD8" w:rsidRPr="00EF4CD6" w:rsidRDefault="007C2BD8" w:rsidP="00006754">
      <w:pPr>
        <w:tabs>
          <w:tab w:val="left" w:pos="360"/>
          <w:tab w:val="left" w:pos="567"/>
        </w:tabs>
        <w:contextualSpacing/>
        <w:jc w:val="both"/>
        <w:rPr>
          <w:b/>
          <w:sz w:val="28"/>
          <w:szCs w:val="28"/>
        </w:rPr>
      </w:pPr>
      <w:r w:rsidRPr="00EF4CD6">
        <w:rPr>
          <w:rFonts w:eastAsia="Calibri"/>
          <w:sz w:val="28"/>
          <w:szCs w:val="28"/>
        </w:rPr>
        <w:t xml:space="preserve"> </w:t>
      </w:r>
      <w:r w:rsidR="00006754" w:rsidRPr="00EF4CD6">
        <w:rPr>
          <w:rFonts w:eastAsia="Calibri"/>
          <w:sz w:val="28"/>
          <w:szCs w:val="28"/>
        </w:rPr>
        <w:tab/>
      </w:r>
      <w:r w:rsidR="00006754" w:rsidRPr="00EF4CD6">
        <w:rPr>
          <w:rFonts w:eastAsia="Calibri"/>
          <w:sz w:val="28"/>
          <w:szCs w:val="28"/>
        </w:rPr>
        <w:tab/>
      </w:r>
      <w:r w:rsidR="006E0648" w:rsidRPr="00EF4CD6">
        <w:rPr>
          <w:b/>
          <w:sz w:val="28"/>
          <w:szCs w:val="28"/>
        </w:rPr>
        <w:t>3. Ідентифікатор закупів</w:t>
      </w:r>
      <w:r w:rsidRPr="00EF4CD6">
        <w:rPr>
          <w:b/>
          <w:sz w:val="28"/>
          <w:szCs w:val="28"/>
        </w:rPr>
        <w:t>л</w:t>
      </w:r>
      <w:r w:rsidR="00AF41A4" w:rsidRPr="00EF4CD6">
        <w:rPr>
          <w:b/>
          <w:sz w:val="28"/>
          <w:szCs w:val="28"/>
        </w:rPr>
        <w:t>і</w:t>
      </w:r>
      <w:r w:rsidR="006E0648" w:rsidRPr="00EF4CD6">
        <w:rPr>
          <w:b/>
          <w:sz w:val="28"/>
          <w:szCs w:val="28"/>
        </w:rPr>
        <w:t xml:space="preserve">: — </w:t>
      </w:r>
      <w:r w:rsidR="0092730C" w:rsidRPr="0092730C">
        <w:rPr>
          <w:b/>
          <w:sz w:val="28"/>
          <w:szCs w:val="28"/>
          <w:lang w:val="en-US"/>
        </w:rPr>
        <w:t>UA-2023-10-03-013019-a</w:t>
      </w:r>
    </w:p>
    <w:p w:rsidR="00B661EC" w:rsidRPr="00EF4CD6" w:rsidRDefault="00B661EC" w:rsidP="007919B9">
      <w:pPr>
        <w:ind w:firstLine="567"/>
        <w:contextualSpacing/>
        <w:jc w:val="both"/>
        <w:rPr>
          <w:b/>
          <w:sz w:val="28"/>
          <w:szCs w:val="28"/>
        </w:rPr>
      </w:pPr>
    </w:p>
    <w:p w:rsidR="00006754" w:rsidRPr="00EF4CD6" w:rsidRDefault="00A0247F" w:rsidP="007919B9">
      <w:pPr>
        <w:ind w:firstLine="567"/>
        <w:contextualSpacing/>
        <w:jc w:val="both"/>
        <w:rPr>
          <w:sz w:val="28"/>
          <w:szCs w:val="28"/>
        </w:rPr>
      </w:pPr>
      <w:r w:rsidRPr="00EF4CD6">
        <w:rPr>
          <w:b/>
          <w:sz w:val="28"/>
          <w:szCs w:val="28"/>
        </w:rPr>
        <w:t>4. Обґрунтування технічних та якісних характеристик предмета закупівлі:</w:t>
      </w:r>
      <w:r w:rsidRPr="00EF4CD6">
        <w:t xml:space="preserve"> </w:t>
      </w:r>
      <w:r w:rsidRPr="00EF4CD6">
        <w:rPr>
          <w:sz w:val="28"/>
          <w:szCs w:val="28"/>
        </w:rPr>
        <w:t>технічні та якісні характеристики предмета закупівлі визначені відповідно до потреб замовника</w:t>
      </w:r>
      <w:r w:rsidR="00006754" w:rsidRPr="00EF4CD6">
        <w:rPr>
          <w:sz w:val="28"/>
          <w:szCs w:val="28"/>
        </w:rPr>
        <w:t>.</w:t>
      </w:r>
    </w:p>
    <w:p w:rsidR="0092730C" w:rsidRPr="0092730C" w:rsidRDefault="0092730C" w:rsidP="0092730C">
      <w:pPr>
        <w:tabs>
          <w:tab w:val="left" w:pos="709"/>
          <w:tab w:val="left" w:pos="851"/>
        </w:tabs>
        <w:ind w:firstLine="567"/>
        <w:jc w:val="both"/>
        <w:rPr>
          <w:b/>
          <w:i/>
          <w:sz w:val="28"/>
          <w:szCs w:val="28"/>
          <w:lang w:eastAsia="en-US"/>
        </w:rPr>
      </w:pPr>
      <w:r w:rsidRPr="0092730C">
        <w:rPr>
          <w:rFonts w:eastAsia="Calibri"/>
          <w:sz w:val="28"/>
          <w:szCs w:val="28"/>
          <w:lang w:eastAsia="en-US"/>
        </w:rPr>
        <w:t xml:space="preserve">Послуга надається на виконання Закону України “Про охорону праці” від 14 жовтня 1992 № 2695-ХІІ (із змінами та доповненнями), 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 184/7505, Порядку проведення медичних оглядів працівників певних категорій, затвердженого наказом Міністерства охорони здоров’я України від 21 травня 2007 № 246 </w:t>
      </w:r>
      <w:r w:rsidRPr="0092730C">
        <w:rPr>
          <w:rFonts w:eastAsia="Calibri"/>
          <w:i/>
          <w:sz w:val="28"/>
          <w:szCs w:val="28"/>
          <w:lang w:eastAsia="en-US"/>
        </w:rPr>
        <w:t>(крім психофізіологічної експертизи, послуг з проведення обов’язкових профілактичних психіатричних оглядів, послуг на проведення профілактичного наркологічного огляд</w:t>
      </w:r>
      <w:r w:rsidRPr="0092730C">
        <w:rPr>
          <w:rFonts w:eastAsia="Calibri"/>
          <w:sz w:val="28"/>
          <w:szCs w:val="28"/>
          <w:lang w:eastAsia="en-US"/>
        </w:rPr>
        <w:t>у)</w:t>
      </w:r>
      <w:r w:rsidRPr="0092730C">
        <w:rPr>
          <w:sz w:val="28"/>
          <w:szCs w:val="28"/>
          <w:lang w:eastAsia="en-US"/>
        </w:rPr>
        <w:t>.</w:t>
      </w:r>
      <w:r w:rsidRPr="0092730C">
        <w:rPr>
          <w:b/>
          <w:i/>
          <w:sz w:val="28"/>
          <w:szCs w:val="28"/>
          <w:lang w:eastAsia="en-US"/>
        </w:rPr>
        <w:t xml:space="preserve">  </w:t>
      </w:r>
    </w:p>
    <w:p w:rsidR="0092730C" w:rsidRPr="0092730C" w:rsidRDefault="0092730C" w:rsidP="0092730C">
      <w:pPr>
        <w:jc w:val="center"/>
        <w:rPr>
          <w:i/>
          <w:sz w:val="28"/>
          <w:szCs w:val="28"/>
          <w:lang w:eastAsia="en-US"/>
        </w:rPr>
      </w:pPr>
      <w:r w:rsidRPr="0092730C">
        <w:rPr>
          <w:b/>
          <w:i/>
          <w:sz w:val="28"/>
          <w:szCs w:val="28"/>
          <w:lang w:eastAsia="en-US"/>
        </w:rPr>
        <w:t xml:space="preserve"> </w:t>
      </w:r>
      <w:r w:rsidRPr="0092730C">
        <w:rPr>
          <w:i/>
          <w:sz w:val="28"/>
          <w:szCs w:val="28"/>
          <w:lang w:eastAsia="en-US"/>
        </w:rPr>
        <w:t xml:space="preserve">Послуги з медичного огляду працівників Полтавської митниці </w:t>
      </w:r>
      <w:bookmarkStart w:id="0" w:name="_Hlk134614109"/>
      <w:r w:rsidRPr="0092730C">
        <w:rPr>
          <w:b/>
          <w:sz w:val="28"/>
          <w:szCs w:val="28"/>
          <w:lang w:eastAsia="en-US"/>
        </w:rPr>
        <w:t xml:space="preserve">в </w:t>
      </w:r>
      <w:proofErr w:type="spellStart"/>
      <w:r w:rsidRPr="0092730C">
        <w:rPr>
          <w:b/>
          <w:sz w:val="28"/>
          <w:szCs w:val="28"/>
          <w:lang w:eastAsia="en-US"/>
        </w:rPr>
        <w:t>м.Кременчук</w:t>
      </w:r>
      <w:proofErr w:type="spellEnd"/>
      <w:r w:rsidRPr="0092730C">
        <w:rPr>
          <w:b/>
          <w:i/>
          <w:sz w:val="28"/>
          <w:szCs w:val="28"/>
          <w:lang w:eastAsia="en-US"/>
        </w:rPr>
        <w:t xml:space="preserve"> </w:t>
      </w:r>
      <w:bookmarkEnd w:id="0"/>
      <w:r w:rsidRPr="0092730C">
        <w:rPr>
          <w:i/>
          <w:sz w:val="28"/>
          <w:szCs w:val="28"/>
          <w:lang w:eastAsia="en-US"/>
        </w:rPr>
        <w:t xml:space="preserve">(ДК 021:2015 – 85140000-2 - Послуги у сфері охорони здоров’я різні) </w:t>
      </w:r>
    </w:p>
    <w:p w:rsidR="0092730C" w:rsidRPr="0092730C" w:rsidRDefault="0092730C" w:rsidP="0092730C">
      <w:pPr>
        <w:spacing w:line="256" w:lineRule="auto"/>
        <w:ind w:left="862"/>
        <w:contextualSpacing/>
        <w:jc w:val="both"/>
        <w:rPr>
          <w:rFonts w:eastAsia="Calibr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1814"/>
      </w:tblGrid>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 з/п</w:t>
            </w:r>
          </w:p>
        </w:tc>
        <w:tc>
          <w:tcPr>
            <w:tcW w:w="6210"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lang w:eastAsia="uk-UA" w:bidi="uk-UA"/>
              </w:rPr>
              <w:t xml:space="preserve">Найменування </w:t>
            </w:r>
          </w:p>
        </w:tc>
        <w:tc>
          <w:tcPr>
            <w:tcW w:w="1814"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Кількість осіб</w:t>
            </w:r>
          </w:p>
        </w:tc>
      </w:tr>
      <w:tr w:rsidR="0092730C" w:rsidRPr="0092730C" w:rsidTr="009A1752">
        <w:trPr>
          <w:trHeight w:val="360"/>
        </w:trPr>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1</w:t>
            </w:r>
          </w:p>
        </w:tc>
        <w:tc>
          <w:tcPr>
            <w:tcW w:w="6210" w:type="dxa"/>
            <w:shd w:val="clear" w:color="auto" w:fill="auto"/>
            <w:vAlign w:val="bottom"/>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лікаря-терапевта</w:t>
            </w:r>
          </w:p>
        </w:tc>
        <w:tc>
          <w:tcPr>
            <w:tcW w:w="1814" w:type="dxa"/>
            <w:shd w:val="clear" w:color="auto" w:fill="auto"/>
            <w:vAlign w:val="bottom"/>
          </w:tcPr>
          <w:p w:rsidR="0092730C" w:rsidRPr="0092730C" w:rsidRDefault="0092730C" w:rsidP="009A1752">
            <w:pPr>
              <w:spacing w:line="200" w:lineRule="exact"/>
              <w:jc w:val="center"/>
              <w:rPr>
                <w:rFonts w:eastAsia="Calibri"/>
                <w:sz w:val="28"/>
                <w:szCs w:val="28"/>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2</w:t>
            </w:r>
          </w:p>
        </w:tc>
        <w:tc>
          <w:tcPr>
            <w:tcW w:w="6210" w:type="dxa"/>
            <w:shd w:val="clear" w:color="auto" w:fill="auto"/>
            <w:vAlign w:val="bottom"/>
          </w:tcPr>
          <w:p w:rsidR="0092730C" w:rsidRPr="0092730C" w:rsidRDefault="0092730C" w:rsidP="009A1752">
            <w:pPr>
              <w:spacing w:line="259" w:lineRule="exact"/>
              <w:rPr>
                <w:rFonts w:eastAsia="Calibri"/>
                <w:b/>
                <w:sz w:val="28"/>
                <w:szCs w:val="28"/>
              </w:rPr>
            </w:pPr>
            <w:r w:rsidRPr="0092730C">
              <w:rPr>
                <w:rFonts w:eastAsia="Trebuchet MS"/>
                <w:bCs/>
                <w:sz w:val="28"/>
                <w:szCs w:val="28"/>
                <w:lang w:eastAsia="uk-UA" w:bidi="uk-UA"/>
              </w:rPr>
              <w:t>Медичний огляд лікаря-хірурга</w:t>
            </w:r>
          </w:p>
        </w:tc>
        <w:tc>
          <w:tcPr>
            <w:tcW w:w="1814" w:type="dxa"/>
            <w:shd w:val="clear" w:color="auto" w:fill="auto"/>
            <w:vAlign w:val="bottom"/>
          </w:tcPr>
          <w:p w:rsidR="0092730C" w:rsidRPr="0092730C" w:rsidRDefault="0092730C" w:rsidP="009A1752">
            <w:pPr>
              <w:spacing w:line="200" w:lineRule="exact"/>
              <w:jc w:val="center"/>
              <w:rPr>
                <w:rFonts w:eastAsia="Calibri"/>
                <w:b/>
                <w:sz w:val="28"/>
                <w:szCs w:val="28"/>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3</w:t>
            </w:r>
          </w:p>
        </w:tc>
        <w:tc>
          <w:tcPr>
            <w:tcW w:w="6210" w:type="dxa"/>
            <w:shd w:val="clear" w:color="auto" w:fill="auto"/>
            <w:vAlign w:val="bottom"/>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лікаря-невропатолога</w:t>
            </w:r>
          </w:p>
        </w:tc>
        <w:tc>
          <w:tcPr>
            <w:tcW w:w="1814" w:type="dxa"/>
            <w:shd w:val="clear" w:color="auto" w:fill="auto"/>
            <w:vAlign w:val="bottom"/>
          </w:tcPr>
          <w:p w:rsidR="0092730C" w:rsidRPr="0092730C" w:rsidRDefault="0092730C" w:rsidP="009A1752">
            <w:pPr>
              <w:spacing w:line="200" w:lineRule="exact"/>
              <w:jc w:val="center"/>
              <w:rPr>
                <w:rFonts w:eastAsia="Calibri"/>
                <w:b/>
                <w:sz w:val="28"/>
                <w:szCs w:val="28"/>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lastRenderedPageBreak/>
              <w:t>4</w:t>
            </w:r>
          </w:p>
        </w:tc>
        <w:tc>
          <w:tcPr>
            <w:tcW w:w="6210" w:type="dxa"/>
            <w:shd w:val="clear" w:color="auto" w:fill="auto"/>
            <w:vAlign w:val="bottom"/>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лікаря-отоларинголога</w:t>
            </w:r>
          </w:p>
        </w:tc>
        <w:tc>
          <w:tcPr>
            <w:tcW w:w="1814" w:type="dxa"/>
            <w:shd w:val="clear" w:color="auto" w:fill="auto"/>
            <w:vAlign w:val="bottom"/>
          </w:tcPr>
          <w:p w:rsidR="0092730C" w:rsidRPr="0092730C" w:rsidRDefault="0092730C" w:rsidP="009A1752">
            <w:pPr>
              <w:spacing w:line="200" w:lineRule="exact"/>
              <w:jc w:val="center"/>
              <w:rPr>
                <w:rFonts w:eastAsia="Calibri"/>
                <w:b/>
                <w:sz w:val="28"/>
                <w:szCs w:val="28"/>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5</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лікаря-офтальмолога</w:t>
            </w:r>
          </w:p>
        </w:tc>
        <w:tc>
          <w:tcPr>
            <w:tcW w:w="1814" w:type="dxa"/>
            <w:shd w:val="clear" w:color="auto" w:fill="auto"/>
            <w:vAlign w:val="bottom"/>
          </w:tcPr>
          <w:p w:rsidR="0092730C" w:rsidRPr="0092730C" w:rsidRDefault="0092730C" w:rsidP="009A1752">
            <w:pPr>
              <w:jc w:val="center"/>
              <w:rPr>
                <w:sz w:val="28"/>
                <w:szCs w:val="28"/>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6</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w:t>
            </w:r>
            <w:proofErr w:type="spellStart"/>
            <w:r w:rsidRPr="0092730C">
              <w:rPr>
                <w:rFonts w:eastAsia="Trebuchet MS"/>
                <w:bCs/>
                <w:sz w:val="28"/>
                <w:szCs w:val="28"/>
                <w:lang w:eastAsia="uk-UA" w:bidi="uk-UA"/>
              </w:rPr>
              <w:t>дерматовенеролога</w:t>
            </w:r>
            <w:proofErr w:type="spellEnd"/>
          </w:p>
        </w:tc>
        <w:tc>
          <w:tcPr>
            <w:tcW w:w="1814" w:type="dxa"/>
            <w:shd w:val="clear" w:color="auto" w:fill="auto"/>
            <w:vAlign w:val="bottom"/>
          </w:tcPr>
          <w:p w:rsidR="0092730C" w:rsidRPr="0092730C" w:rsidRDefault="0092730C" w:rsidP="009A1752">
            <w:pPr>
              <w:jc w:val="center"/>
              <w:rPr>
                <w:sz w:val="28"/>
                <w:szCs w:val="28"/>
                <w:lang w:val="en-US"/>
              </w:rPr>
            </w:pPr>
            <w:r w:rsidRPr="0092730C">
              <w:rPr>
                <w:rFonts w:eastAsia="Calibri"/>
                <w:sz w:val="28"/>
                <w:szCs w:val="28"/>
              </w:rPr>
              <w:t>29</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7</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лікаря-акушер-гінеколога</w:t>
            </w:r>
          </w:p>
        </w:tc>
        <w:tc>
          <w:tcPr>
            <w:tcW w:w="1814" w:type="dxa"/>
            <w:shd w:val="clear" w:color="auto" w:fill="auto"/>
            <w:vAlign w:val="bottom"/>
          </w:tcPr>
          <w:p w:rsidR="0092730C" w:rsidRPr="0092730C" w:rsidRDefault="0092730C" w:rsidP="009A1752">
            <w:pPr>
              <w:jc w:val="center"/>
              <w:rPr>
                <w:sz w:val="28"/>
                <w:szCs w:val="28"/>
              </w:rPr>
            </w:pPr>
            <w:r w:rsidRPr="0092730C">
              <w:rPr>
                <w:rFonts w:eastAsia="Trebuchet MS"/>
                <w:bCs/>
                <w:sz w:val="28"/>
                <w:szCs w:val="28"/>
                <w:lang w:eastAsia="uk-UA" w:bidi="uk-UA"/>
              </w:rPr>
              <w:t>5</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8</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Медичний огляд лікаря-уролога</w:t>
            </w:r>
          </w:p>
        </w:tc>
        <w:tc>
          <w:tcPr>
            <w:tcW w:w="1814" w:type="dxa"/>
            <w:shd w:val="clear" w:color="auto" w:fill="auto"/>
            <w:vAlign w:val="bottom"/>
          </w:tcPr>
          <w:p w:rsidR="0092730C" w:rsidRPr="0092730C" w:rsidRDefault="0092730C" w:rsidP="009A1752">
            <w:pPr>
              <w:jc w:val="center"/>
              <w:rPr>
                <w:sz w:val="28"/>
                <w:szCs w:val="28"/>
              </w:rPr>
            </w:pPr>
            <w:r w:rsidRPr="0092730C">
              <w:rPr>
                <w:rFonts w:eastAsia="Trebuchet MS"/>
                <w:bCs/>
                <w:sz w:val="28"/>
                <w:szCs w:val="28"/>
                <w:lang w:eastAsia="uk-UA" w:bidi="uk-UA"/>
              </w:rPr>
              <w:t>24</w:t>
            </w:r>
          </w:p>
        </w:tc>
      </w:tr>
      <w:tr w:rsidR="0092730C" w:rsidRPr="0092730C" w:rsidTr="009A1752">
        <w:tc>
          <w:tcPr>
            <w:tcW w:w="1615" w:type="dxa"/>
            <w:shd w:val="clear" w:color="auto" w:fill="auto"/>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9</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Загальний аналіз крові</w:t>
            </w:r>
          </w:p>
        </w:tc>
        <w:tc>
          <w:tcPr>
            <w:tcW w:w="1814" w:type="dxa"/>
            <w:shd w:val="clear" w:color="auto" w:fill="auto"/>
            <w:vAlign w:val="bottom"/>
          </w:tcPr>
          <w:p w:rsidR="0092730C" w:rsidRPr="0092730C" w:rsidRDefault="0092730C" w:rsidP="009A1752">
            <w:pPr>
              <w:jc w:val="center"/>
              <w:rPr>
                <w:sz w:val="28"/>
                <w:szCs w:val="28"/>
              </w:rPr>
            </w:pPr>
            <w:r w:rsidRPr="0092730C">
              <w:rPr>
                <w:rFonts w:eastAsia="Calibri"/>
                <w:sz w:val="28"/>
                <w:szCs w:val="28"/>
              </w:rPr>
              <w:t>29</w:t>
            </w:r>
          </w:p>
        </w:tc>
      </w:tr>
      <w:tr w:rsidR="0092730C" w:rsidRPr="0092730C" w:rsidTr="0092730C">
        <w:trPr>
          <w:trHeight w:val="580"/>
        </w:trPr>
        <w:tc>
          <w:tcPr>
            <w:tcW w:w="1615" w:type="dxa"/>
            <w:shd w:val="clear" w:color="auto" w:fill="auto"/>
            <w:vAlign w:val="center"/>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10</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Рентгенологічне обстеження органів грудної клітки</w:t>
            </w:r>
          </w:p>
        </w:tc>
        <w:tc>
          <w:tcPr>
            <w:tcW w:w="1814" w:type="dxa"/>
            <w:shd w:val="clear" w:color="auto" w:fill="auto"/>
            <w:vAlign w:val="center"/>
          </w:tcPr>
          <w:p w:rsidR="0092730C" w:rsidRPr="0092730C" w:rsidRDefault="0092730C" w:rsidP="0092730C">
            <w:pPr>
              <w:jc w:val="center"/>
              <w:rPr>
                <w:sz w:val="28"/>
                <w:szCs w:val="28"/>
              </w:rPr>
            </w:pPr>
            <w:r w:rsidRPr="0092730C">
              <w:rPr>
                <w:rFonts w:eastAsia="Calibri"/>
                <w:sz w:val="28"/>
                <w:szCs w:val="28"/>
              </w:rPr>
              <w:t>29</w:t>
            </w:r>
          </w:p>
        </w:tc>
      </w:tr>
      <w:tr w:rsidR="0092730C" w:rsidRPr="0092730C" w:rsidTr="0092730C">
        <w:trPr>
          <w:trHeight w:val="560"/>
        </w:trPr>
        <w:tc>
          <w:tcPr>
            <w:tcW w:w="1615" w:type="dxa"/>
            <w:shd w:val="clear" w:color="auto" w:fill="auto"/>
            <w:vAlign w:val="center"/>
          </w:tcPr>
          <w:p w:rsidR="0092730C" w:rsidRPr="0092730C" w:rsidRDefault="0092730C" w:rsidP="009A1752">
            <w:pPr>
              <w:spacing w:line="256" w:lineRule="auto"/>
              <w:contextualSpacing/>
              <w:jc w:val="center"/>
              <w:rPr>
                <w:rFonts w:eastAsia="Calibri"/>
                <w:sz w:val="28"/>
                <w:szCs w:val="28"/>
              </w:rPr>
            </w:pPr>
            <w:r w:rsidRPr="0092730C">
              <w:rPr>
                <w:rFonts w:eastAsia="Calibri"/>
                <w:sz w:val="28"/>
                <w:szCs w:val="28"/>
              </w:rPr>
              <w:t>11</w:t>
            </w:r>
          </w:p>
        </w:tc>
        <w:tc>
          <w:tcPr>
            <w:tcW w:w="6210" w:type="dxa"/>
            <w:shd w:val="clear" w:color="auto" w:fill="auto"/>
            <w:vAlign w:val="center"/>
          </w:tcPr>
          <w:p w:rsidR="0092730C" w:rsidRPr="0092730C" w:rsidRDefault="0092730C" w:rsidP="009A1752">
            <w:pPr>
              <w:spacing w:line="200" w:lineRule="exact"/>
              <w:rPr>
                <w:rFonts w:eastAsia="Calibri"/>
                <w:b/>
                <w:sz w:val="28"/>
                <w:szCs w:val="28"/>
              </w:rPr>
            </w:pPr>
            <w:r w:rsidRPr="0092730C">
              <w:rPr>
                <w:rFonts w:eastAsia="Trebuchet MS"/>
                <w:bCs/>
                <w:sz w:val="28"/>
                <w:szCs w:val="28"/>
                <w:lang w:eastAsia="uk-UA" w:bidi="uk-UA"/>
              </w:rPr>
              <w:t>Електрокардіографічне обстеження</w:t>
            </w:r>
          </w:p>
        </w:tc>
        <w:tc>
          <w:tcPr>
            <w:tcW w:w="1814" w:type="dxa"/>
            <w:shd w:val="clear" w:color="auto" w:fill="auto"/>
            <w:vAlign w:val="center"/>
          </w:tcPr>
          <w:p w:rsidR="0092730C" w:rsidRPr="0092730C" w:rsidRDefault="0092730C" w:rsidP="0092730C">
            <w:pPr>
              <w:jc w:val="center"/>
              <w:rPr>
                <w:sz w:val="28"/>
                <w:szCs w:val="28"/>
              </w:rPr>
            </w:pPr>
            <w:r w:rsidRPr="0092730C">
              <w:rPr>
                <w:rFonts w:eastAsia="Calibri"/>
                <w:sz w:val="28"/>
                <w:szCs w:val="28"/>
              </w:rPr>
              <w:t>29</w:t>
            </w:r>
          </w:p>
        </w:tc>
      </w:tr>
    </w:tbl>
    <w:p w:rsidR="0092730C" w:rsidRPr="0092730C" w:rsidRDefault="0092730C" w:rsidP="0092730C">
      <w:pPr>
        <w:jc w:val="center"/>
        <w:rPr>
          <w:i/>
          <w:sz w:val="28"/>
          <w:szCs w:val="28"/>
        </w:rPr>
      </w:pPr>
      <w:bookmarkStart w:id="1" w:name="_GoBack"/>
      <w:bookmarkEnd w:id="1"/>
    </w:p>
    <w:p w:rsidR="0092730C" w:rsidRPr="0092730C" w:rsidRDefault="0092730C" w:rsidP="0092730C">
      <w:pPr>
        <w:jc w:val="center"/>
        <w:rPr>
          <w:rFonts w:eastAsia="Andale Sans UI"/>
          <w:b/>
          <w:bCs/>
          <w:kern w:val="2"/>
          <w:sz w:val="28"/>
          <w:szCs w:val="28"/>
          <w:lang/>
        </w:rPr>
      </w:pPr>
      <w:r w:rsidRPr="0092730C">
        <w:rPr>
          <w:rFonts w:eastAsia="Andale Sans UI"/>
          <w:b/>
          <w:bCs/>
          <w:kern w:val="2"/>
          <w:sz w:val="28"/>
          <w:szCs w:val="28"/>
          <w:lang/>
        </w:rPr>
        <w:t>Умови проведення медичного огляду</w:t>
      </w:r>
    </w:p>
    <w:p w:rsidR="0092730C" w:rsidRPr="0092730C" w:rsidRDefault="0092730C" w:rsidP="0092730C">
      <w:pPr>
        <w:jc w:val="center"/>
        <w:rPr>
          <w:rFonts w:eastAsia="Andale Sans UI"/>
          <w:b/>
          <w:bCs/>
          <w:kern w:val="2"/>
          <w:sz w:val="28"/>
          <w:szCs w:val="28"/>
          <w:lang/>
        </w:rPr>
      </w:pPr>
    </w:p>
    <w:tbl>
      <w:tblPr>
        <w:tblW w:w="0" w:type="auto"/>
        <w:tblLook w:val="04A0" w:firstRow="1" w:lastRow="0" w:firstColumn="1" w:lastColumn="0" w:noHBand="0" w:noVBand="1"/>
      </w:tblPr>
      <w:tblGrid>
        <w:gridCol w:w="566"/>
        <w:gridCol w:w="9175"/>
      </w:tblGrid>
      <w:tr w:rsidR="0092730C" w:rsidRPr="0092730C" w:rsidTr="009A1752">
        <w:trPr>
          <w:trHeight w:val="2522"/>
        </w:trPr>
        <w:tc>
          <w:tcPr>
            <w:tcW w:w="534" w:type="dxa"/>
            <w:shd w:val="clear" w:color="auto" w:fill="auto"/>
          </w:tcPr>
          <w:p w:rsidR="0092730C" w:rsidRPr="0092730C" w:rsidRDefault="0092730C" w:rsidP="009A1752">
            <w:pPr>
              <w:jc w:val="center"/>
              <w:rPr>
                <w:rFonts w:eastAsia="Calibri"/>
                <w:sz w:val="28"/>
                <w:szCs w:val="28"/>
                <w:lang w:val="ru-RU"/>
              </w:rPr>
            </w:pPr>
            <w:r w:rsidRPr="0092730C">
              <w:rPr>
                <w:rFonts w:eastAsia="Calibri"/>
                <w:sz w:val="28"/>
                <w:szCs w:val="28"/>
                <w:lang w:val="ru-RU"/>
              </w:rPr>
              <w:t xml:space="preserve">1. </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 xml:space="preserve">Медичний огляд проводиться на підставі </w:t>
            </w:r>
            <w:r w:rsidRPr="0092730C">
              <w:rPr>
                <w:rFonts w:eastAsia="Calibri"/>
                <w:b/>
                <w:i/>
                <w:sz w:val="28"/>
                <w:szCs w:val="28"/>
                <w:lang w:val="ru-RU"/>
              </w:rPr>
              <w:t>Н</w:t>
            </w:r>
            <w:proofErr w:type="spellStart"/>
            <w:r w:rsidRPr="0092730C">
              <w:rPr>
                <w:rFonts w:eastAsia="Calibri"/>
                <w:b/>
                <w:i/>
                <w:sz w:val="28"/>
                <w:szCs w:val="28"/>
              </w:rPr>
              <w:t>аказу</w:t>
            </w:r>
            <w:proofErr w:type="spellEnd"/>
            <w:r w:rsidRPr="0092730C">
              <w:rPr>
                <w:rFonts w:eastAsia="Calibri"/>
                <w:b/>
                <w:i/>
                <w:sz w:val="28"/>
                <w:szCs w:val="28"/>
              </w:rPr>
              <w:t xml:space="preserve"> Міністерства охорони здоров’я України від 21.05.2007 № 246 «Про затвердження Порядку проведення медичних оглядів працівників певних категорій» </w:t>
            </w:r>
            <w:r w:rsidRPr="0092730C">
              <w:rPr>
                <w:rFonts w:eastAsia="Calibri"/>
                <w:i/>
                <w:sz w:val="28"/>
                <w:szCs w:val="28"/>
              </w:rPr>
              <w:t>(зі змінами)</w:t>
            </w:r>
            <w:r w:rsidRPr="0092730C">
              <w:rPr>
                <w:rFonts w:eastAsia="Calibri"/>
                <w:sz w:val="28"/>
                <w:szCs w:val="28"/>
              </w:rPr>
              <w:t xml:space="preserve">, зареєстрованого в Міністерстві юстиції України 23 липня 2007 р. за № 846/14113 (далі по тексту – Наказ № 246),  </w:t>
            </w:r>
            <w:r w:rsidRPr="0092730C">
              <w:rPr>
                <w:sz w:val="28"/>
                <w:szCs w:val="28"/>
              </w:rPr>
              <w:t>наказу Міністерства охорони здоров’я України, Головного управління державної служби України та Державного управління справами від 18 лютого 2003 № 75/24/1 "Про проведення щорічного профілактичного медичного огляду державних службовців", зареєстрованого в Міністерстві юстиції України від 06 березня 2003  №184/7505</w:t>
            </w:r>
            <w:r w:rsidRPr="0092730C">
              <w:rPr>
                <w:rFonts w:eastAsia="Calibri"/>
                <w:sz w:val="28"/>
                <w:szCs w:val="28"/>
              </w:rPr>
              <w:t>.</w:t>
            </w:r>
          </w:p>
        </w:tc>
      </w:tr>
      <w:tr w:rsidR="0092730C" w:rsidRPr="0092730C" w:rsidTr="009A1752">
        <w:trPr>
          <w:trHeight w:val="649"/>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2</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Медичний огляд проводиться згідно узгоджених графіків проведення медичних оглядів.</w:t>
            </w:r>
          </w:p>
        </w:tc>
      </w:tr>
      <w:tr w:rsidR="0092730C" w:rsidRPr="0092730C" w:rsidTr="009A1752">
        <w:trPr>
          <w:trHeight w:val="707"/>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3</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Послуга надається на території Виконавця. Місце розташування закладу охорони  здоров’я – в м. Кременчук.</w:t>
            </w:r>
          </w:p>
          <w:p w:rsidR="0092730C" w:rsidRPr="0092730C" w:rsidRDefault="0092730C" w:rsidP="009A1752">
            <w:pPr>
              <w:jc w:val="both"/>
              <w:rPr>
                <w:rFonts w:eastAsia="Calibri"/>
                <w:sz w:val="28"/>
                <w:szCs w:val="28"/>
              </w:rPr>
            </w:pPr>
            <w:r w:rsidRPr="0092730C">
              <w:rPr>
                <w:rFonts w:eastAsia="Calibri"/>
                <w:sz w:val="28"/>
                <w:szCs w:val="28"/>
              </w:rPr>
              <w:t>Наявність необхідного медичного обладнання (рентген-апарата) для проходження медичного огляду в одному закладі охорони здоров’я, де буде проводитись медичний огляд, щоб працівники Полтавської митниці, які будуть проходити огляд, не були змушені переходити (переїжджати) з одного закладу охорони здоров’я до іншого.</w:t>
            </w:r>
          </w:p>
        </w:tc>
      </w:tr>
      <w:tr w:rsidR="0092730C" w:rsidRPr="0092730C" w:rsidTr="0092730C">
        <w:trPr>
          <w:trHeight w:val="716"/>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4</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 xml:space="preserve">Згідно з нормами Наказу № 246 «Попередній (періодичні) медичний огляд працівників проводиться закладами охорони здоров’я, що віднесені до другої, першої, вищої акредитаційної категорії за результатами державної акредитації відповідно до Порядку державної акредитації закладу охорони здоров’я, затвердженого постановою Кабінету Міністрів України від 15.07.97 № 765 ( 765-97-п ), а також спеціалізованими закладами охорони здоров'я, які мають право встановлювати остаточний діагноз щодо професійних захворювань, перелік яких затверджено наказом МОЗ України від 25.03.2003 № 133 ( z0283-03 ), зареєстрованим в Міністерстві юстиції України 10.04.2003 за № 283/7604, вищими медичними навчальними закладами III - IV рівнів акредитації, які мають кафедри та курси професійних захворювань та проводять лабораторні, функціональні та інші дослідження і надають медико-санітарну допомогу за </w:t>
            </w:r>
            <w:r w:rsidRPr="0092730C">
              <w:rPr>
                <w:rFonts w:eastAsia="Calibri"/>
                <w:sz w:val="28"/>
                <w:szCs w:val="28"/>
              </w:rPr>
              <w:lastRenderedPageBreak/>
              <w:t>спеціальностями, що передбачені додатками 4 та 5 до пункту 2.6 цього Порядку».</w:t>
            </w:r>
          </w:p>
        </w:tc>
      </w:tr>
      <w:tr w:rsidR="0092730C" w:rsidRPr="0092730C" w:rsidTr="009A1752">
        <w:trPr>
          <w:trHeight w:val="701"/>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lastRenderedPageBreak/>
              <w:t>5</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 xml:space="preserve">За результатами медичних оглядів оформлюється </w:t>
            </w:r>
            <w:r w:rsidRPr="0092730C">
              <w:rPr>
                <w:rFonts w:eastAsia="Calibri"/>
                <w:b/>
                <w:sz w:val="28"/>
                <w:szCs w:val="28"/>
              </w:rPr>
              <w:t>А</w:t>
            </w:r>
            <w:r w:rsidRPr="0092730C">
              <w:rPr>
                <w:rFonts w:eastAsia="Calibri"/>
                <w:b/>
                <w:i/>
                <w:sz w:val="28"/>
                <w:szCs w:val="28"/>
              </w:rPr>
              <w:t>кт</w:t>
            </w:r>
            <w:r w:rsidRPr="0092730C">
              <w:rPr>
                <w:rFonts w:eastAsia="Calibri"/>
                <w:sz w:val="28"/>
                <w:szCs w:val="28"/>
              </w:rPr>
              <w:t xml:space="preserve"> </w:t>
            </w:r>
            <w:r w:rsidRPr="0092730C">
              <w:rPr>
                <w:rFonts w:eastAsia="Calibri"/>
                <w:b/>
                <w:sz w:val="28"/>
                <w:szCs w:val="28"/>
              </w:rPr>
              <w:t>про надані послуги</w:t>
            </w:r>
            <w:r w:rsidRPr="0092730C">
              <w:rPr>
                <w:rFonts w:eastAsia="Calibri"/>
                <w:sz w:val="28"/>
                <w:szCs w:val="28"/>
              </w:rPr>
              <w:t xml:space="preserve"> у двох примірниках.</w:t>
            </w:r>
          </w:p>
        </w:tc>
      </w:tr>
      <w:tr w:rsidR="0092730C" w:rsidRPr="0092730C" w:rsidTr="009A1752">
        <w:trPr>
          <w:trHeight w:val="979"/>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6</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Учасник несе персональну відповідальність за наявність ліцензій та інших дозвільних документів, необхідних для надання послуг, визначених нормами діючого законодавства.</w:t>
            </w:r>
          </w:p>
        </w:tc>
      </w:tr>
      <w:tr w:rsidR="0092730C" w:rsidRPr="0092730C" w:rsidTr="009A1752">
        <w:trPr>
          <w:trHeight w:val="425"/>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7</w:t>
            </w:r>
            <w:r w:rsidRPr="0092730C">
              <w:rPr>
                <w:rFonts w:eastAsia="Calibri"/>
                <w:sz w:val="28"/>
                <w:szCs w:val="28"/>
              </w:rPr>
              <w:t>.</w:t>
            </w:r>
          </w:p>
        </w:tc>
        <w:tc>
          <w:tcPr>
            <w:tcW w:w="9321" w:type="dxa"/>
            <w:shd w:val="clear" w:color="auto" w:fill="auto"/>
          </w:tcPr>
          <w:p w:rsidR="0092730C" w:rsidRPr="0092730C" w:rsidRDefault="0092730C" w:rsidP="009A1752">
            <w:pPr>
              <w:rPr>
                <w:rFonts w:eastAsia="Calibri"/>
                <w:sz w:val="28"/>
                <w:szCs w:val="28"/>
              </w:rPr>
            </w:pPr>
            <w:r w:rsidRPr="0092730C">
              <w:rPr>
                <w:rFonts w:eastAsia="Calibri"/>
                <w:sz w:val="28"/>
                <w:szCs w:val="28"/>
              </w:rPr>
              <w:t>Медичний огляд проводиться без урахування аналізу на групу крові і резус-фактор.</w:t>
            </w:r>
          </w:p>
        </w:tc>
      </w:tr>
      <w:tr w:rsidR="0092730C" w:rsidRPr="0092730C" w:rsidTr="009A1752">
        <w:trPr>
          <w:trHeight w:val="1584"/>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8</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 xml:space="preserve">Учасник забезпечує проведення медичного профілактичного огляду працівників (крім психофізіологічної експертизи, послуги з проведення періодичних психіатричних оглядів працівників та водіїв, у тому числі на предмет вживання </w:t>
            </w:r>
            <w:proofErr w:type="spellStart"/>
            <w:r w:rsidRPr="0092730C">
              <w:rPr>
                <w:rFonts w:eastAsia="Calibri"/>
                <w:sz w:val="28"/>
                <w:szCs w:val="28"/>
              </w:rPr>
              <w:t>психоактивних</w:t>
            </w:r>
            <w:proofErr w:type="spellEnd"/>
            <w:r w:rsidRPr="0092730C">
              <w:rPr>
                <w:rFonts w:eastAsia="Calibri"/>
                <w:sz w:val="28"/>
                <w:szCs w:val="28"/>
              </w:rPr>
              <w:t xml:space="preserve"> речовин) відповідно до умов закупівлі та вимог законодавства України про обов'язкові профілактичні медичні огляди працівників</w:t>
            </w:r>
          </w:p>
        </w:tc>
      </w:tr>
      <w:tr w:rsidR="0092730C" w:rsidRPr="0092730C" w:rsidTr="009A1752">
        <w:trPr>
          <w:trHeight w:val="702"/>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9</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Послуги повинні виконуватись за умови дотримання вимог законів та інших нормативно - правових актів з охорони праці.</w:t>
            </w:r>
          </w:p>
        </w:tc>
      </w:tr>
      <w:tr w:rsidR="0092730C" w:rsidRPr="0092730C" w:rsidTr="009A1752">
        <w:trPr>
          <w:trHeight w:val="2295"/>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10</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 xml:space="preserve">Надання послуг повинно здійснюватися у наступному порядку: </w:t>
            </w:r>
          </w:p>
          <w:p w:rsidR="0092730C" w:rsidRPr="0092730C" w:rsidRDefault="0092730C" w:rsidP="009A1752">
            <w:pPr>
              <w:jc w:val="both"/>
              <w:rPr>
                <w:rFonts w:eastAsia="Calibri"/>
                <w:sz w:val="28"/>
                <w:szCs w:val="28"/>
              </w:rPr>
            </w:pPr>
            <w:r w:rsidRPr="0092730C">
              <w:rPr>
                <w:rFonts w:eastAsia="Calibri"/>
                <w:sz w:val="28"/>
                <w:szCs w:val="28"/>
              </w:rPr>
              <w:t>Замовник після укладення договору надає Виконавцю списки працівників, які підлягають медичному огляду. Виконавець забезпечує проходження працівником Замовника медичного огляду протягом двох робочих днів з моменту явки працівника до Виконавця (згідно заздалегідь узгоджених графіків проведення медичних оглядів), якщо стан здоров’я працівника чи інші обставини, пов’язані з терміном здійснення медогляду, не вимагають збільшення часу для встановлення працівнику остаточного результату медогляду.</w:t>
            </w:r>
          </w:p>
        </w:tc>
      </w:tr>
      <w:tr w:rsidR="0092730C" w:rsidRPr="0092730C" w:rsidTr="009A1752">
        <w:trPr>
          <w:trHeight w:val="702"/>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lang w:val="ru-RU"/>
              </w:rPr>
              <w:t>11</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Оплата за надані послуги здійснюється по факту надання послуг відповідно до умов Договору.</w:t>
            </w:r>
          </w:p>
        </w:tc>
      </w:tr>
      <w:tr w:rsidR="0092730C" w:rsidRPr="0092730C" w:rsidTr="009A1752">
        <w:trPr>
          <w:trHeight w:val="394"/>
        </w:trPr>
        <w:tc>
          <w:tcPr>
            <w:tcW w:w="534" w:type="dxa"/>
            <w:shd w:val="clear" w:color="auto" w:fill="auto"/>
          </w:tcPr>
          <w:p w:rsidR="0092730C" w:rsidRPr="0092730C" w:rsidRDefault="0092730C" w:rsidP="009A1752">
            <w:pPr>
              <w:jc w:val="center"/>
              <w:rPr>
                <w:rFonts w:eastAsia="Calibri"/>
                <w:sz w:val="28"/>
                <w:szCs w:val="28"/>
              </w:rPr>
            </w:pPr>
            <w:r w:rsidRPr="0092730C">
              <w:rPr>
                <w:rFonts w:eastAsia="Calibri"/>
                <w:sz w:val="28"/>
                <w:szCs w:val="28"/>
              </w:rPr>
              <w:t>1</w:t>
            </w:r>
            <w:r w:rsidRPr="0092730C">
              <w:rPr>
                <w:rFonts w:eastAsia="Calibri"/>
                <w:sz w:val="28"/>
                <w:szCs w:val="28"/>
                <w:lang w:val="ru-RU"/>
              </w:rPr>
              <w:t>2</w:t>
            </w:r>
            <w:r w:rsidRPr="0092730C">
              <w:rPr>
                <w:rFonts w:eastAsia="Calibri"/>
                <w:sz w:val="28"/>
                <w:szCs w:val="28"/>
              </w:rPr>
              <w:t>.</w:t>
            </w:r>
          </w:p>
        </w:tc>
        <w:tc>
          <w:tcPr>
            <w:tcW w:w="9321" w:type="dxa"/>
            <w:shd w:val="clear" w:color="auto" w:fill="auto"/>
          </w:tcPr>
          <w:p w:rsidR="0092730C" w:rsidRPr="0092730C" w:rsidRDefault="0092730C" w:rsidP="009A1752">
            <w:pPr>
              <w:jc w:val="both"/>
              <w:rPr>
                <w:rFonts w:eastAsia="Calibri"/>
                <w:sz w:val="28"/>
                <w:szCs w:val="28"/>
              </w:rPr>
            </w:pPr>
            <w:r w:rsidRPr="0092730C">
              <w:rPr>
                <w:rFonts w:eastAsia="Calibri"/>
                <w:sz w:val="28"/>
                <w:szCs w:val="28"/>
              </w:rPr>
              <w:t>Строк надання послуг - згідно заздалегідь узгоджених графіків проведення медичних оглядів, до 31 грудня  2023 року включно.</w:t>
            </w:r>
          </w:p>
        </w:tc>
      </w:tr>
    </w:tbl>
    <w:p w:rsidR="0092730C" w:rsidRPr="0092730C" w:rsidRDefault="0092730C" w:rsidP="0092730C">
      <w:pPr>
        <w:widowControl w:val="0"/>
        <w:jc w:val="center"/>
        <w:rPr>
          <w:rFonts w:eastAsia="Andale Sans UI"/>
          <w:b/>
          <w:bCs/>
          <w:iCs/>
          <w:kern w:val="2"/>
          <w:sz w:val="28"/>
          <w:szCs w:val="28"/>
          <w:lang/>
        </w:rPr>
      </w:pPr>
    </w:p>
    <w:p w:rsidR="0092730C" w:rsidRPr="0092730C" w:rsidRDefault="0092730C" w:rsidP="0092730C">
      <w:pPr>
        <w:widowControl w:val="0"/>
        <w:jc w:val="center"/>
        <w:rPr>
          <w:rFonts w:eastAsia="Andale Sans UI"/>
          <w:b/>
          <w:bCs/>
          <w:iCs/>
          <w:kern w:val="2"/>
          <w:sz w:val="28"/>
          <w:szCs w:val="28"/>
          <w:lang/>
        </w:rPr>
      </w:pPr>
      <w:r w:rsidRPr="0092730C">
        <w:rPr>
          <w:rFonts w:eastAsia="Andale Sans UI"/>
          <w:b/>
          <w:bCs/>
          <w:iCs/>
          <w:kern w:val="2"/>
          <w:sz w:val="28"/>
          <w:szCs w:val="28"/>
          <w:lang/>
        </w:rPr>
        <w:t>У складі своєї пропозиції Учасник повинен надати:</w:t>
      </w:r>
    </w:p>
    <w:p w:rsidR="0092730C" w:rsidRPr="0092730C" w:rsidRDefault="0092730C" w:rsidP="0092730C">
      <w:pPr>
        <w:widowControl w:val="0"/>
        <w:numPr>
          <w:ilvl w:val="0"/>
          <w:numId w:val="15"/>
        </w:numPr>
        <w:suppressAutoHyphens/>
        <w:spacing w:after="200"/>
        <w:jc w:val="both"/>
        <w:rPr>
          <w:rFonts w:eastAsia="Andale Sans UI"/>
          <w:bCs/>
          <w:iCs/>
          <w:kern w:val="2"/>
          <w:sz w:val="28"/>
          <w:szCs w:val="28"/>
          <w:lang w:val="ru-RU"/>
        </w:rPr>
      </w:pPr>
      <w:r w:rsidRPr="0092730C">
        <w:rPr>
          <w:rFonts w:eastAsia="Calibri"/>
          <w:sz w:val="28"/>
          <w:szCs w:val="28"/>
        </w:rPr>
        <w:t>Скановану ліцензію/дозвіл або інший документ на провадження відповідної діяльності, якщо це передбачено чинним законодавством України. Якщо не передбачено, надати довідку про це в довільній формі.</w:t>
      </w:r>
    </w:p>
    <w:p w:rsidR="0092730C" w:rsidRPr="0092730C" w:rsidRDefault="0092730C" w:rsidP="0092730C">
      <w:pPr>
        <w:widowControl w:val="0"/>
        <w:numPr>
          <w:ilvl w:val="0"/>
          <w:numId w:val="15"/>
        </w:numPr>
        <w:suppressAutoHyphens/>
        <w:spacing w:after="200"/>
        <w:jc w:val="both"/>
        <w:rPr>
          <w:rFonts w:eastAsia="Andale Sans UI"/>
          <w:bCs/>
          <w:iCs/>
          <w:kern w:val="2"/>
          <w:sz w:val="28"/>
          <w:szCs w:val="28"/>
          <w:lang w:val="ru-RU"/>
        </w:rPr>
      </w:pPr>
      <w:proofErr w:type="spellStart"/>
      <w:r w:rsidRPr="0092730C">
        <w:rPr>
          <w:rFonts w:eastAsia="Andale Sans UI"/>
          <w:bCs/>
          <w:iCs/>
          <w:kern w:val="2"/>
          <w:sz w:val="28"/>
          <w:szCs w:val="28"/>
          <w:lang w:val="ru-RU"/>
        </w:rPr>
        <w:t>Копі</w:t>
      </w:r>
      <w:r>
        <w:rPr>
          <w:rFonts w:eastAsia="Andale Sans UI"/>
          <w:bCs/>
          <w:iCs/>
          <w:kern w:val="2"/>
          <w:sz w:val="28"/>
          <w:szCs w:val="28"/>
          <w:lang w:val="ru-RU"/>
        </w:rPr>
        <w:t>ю</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Акредитаційного</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сертифікату</w:t>
      </w:r>
      <w:proofErr w:type="spellEnd"/>
      <w:r w:rsidRPr="0092730C">
        <w:rPr>
          <w:rFonts w:eastAsia="Andale Sans UI"/>
          <w:bCs/>
          <w:iCs/>
          <w:kern w:val="2"/>
          <w:sz w:val="28"/>
          <w:szCs w:val="28"/>
          <w:lang w:val="ru-RU"/>
        </w:rPr>
        <w:t xml:space="preserve"> закладу </w:t>
      </w:r>
      <w:proofErr w:type="spellStart"/>
      <w:r w:rsidRPr="0092730C">
        <w:rPr>
          <w:rFonts w:eastAsia="Andale Sans UI"/>
          <w:bCs/>
          <w:iCs/>
          <w:kern w:val="2"/>
          <w:sz w:val="28"/>
          <w:szCs w:val="28"/>
          <w:lang w:val="ru-RU"/>
        </w:rPr>
        <w:t>охорони</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здоров’я</w:t>
      </w:r>
      <w:proofErr w:type="spellEnd"/>
      <w:r w:rsidRPr="0092730C">
        <w:rPr>
          <w:rFonts w:eastAsia="Andale Sans UI"/>
          <w:bCs/>
          <w:iCs/>
          <w:kern w:val="2"/>
          <w:sz w:val="28"/>
          <w:szCs w:val="28"/>
          <w:lang w:val="ru-RU"/>
        </w:rPr>
        <w:t xml:space="preserve"> </w:t>
      </w:r>
      <w:proofErr w:type="spellStart"/>
      <w:r>
        <w:rPr>
          <w:rFonts w:eastAsia="Andale Sans UI"/>
          <w:bCs/>
          <w:iCs/>
          <w:kern w:val="2"/>
          <w:sz w:val="28"/>
          <w:szCs w:val="28"/>
          <w:lang w:val="ru-RU"/>
        </w:rPr>
        <w:t>у</w:t>
      </w:r>
      <w:r w:rsidRPr="0092730C">
        <w:rPr>
          <w:rFonts w:eastAsia="Andale Sans UI"/>
          <w:bCs/>
          <w:iCs/>
          <w:kern w:val="2"/>
          <w:sz w:val="28"/>
          <w:szCs w:val="28"/>
          <w:lang w:val="ru-RU"/>
        </w:rPr>
        <w:t>становленого</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зразка</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що</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затверджено</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постановою</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Кабінету</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Міні</w:t>
      </w:r>
      <w:proofErr w:type="gramStart"/>
      <w:r w:rsidRPr="0092730C">
        <w:rPr>
          <w:rFonts w:eastAsia="Andale Sans UI"/>
          <w:bCs/>
          <w:iCs/>
          <w:kern w:val="2"/>
          <w:sz w:val="28"/>
          <w:szCs w:val="28"/>
          <w:lang w:val="ru-RU"/>
        </w:rPr>
        <w:t>стр</w:t>
      </w:r>
      <w:proofErr w:type="gramEnd"/>
      <w:r w:rsidRPr="0092730C">
        <w:rPr>
          <w:rFonts w:eastAsia="Andale Sans UI"/>
          <w:bCs/>
          <w:iCs/>
          <w:kern w:val="2"/>
          <w:sz w:val="28"/>
          <w:szCs w:val="28"/>
          <w:lang w:val="ru-RU"/>
        </w:rPr>
        <w:t>ів</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України</w:t>
      </w:r>
      <w:proofErr w:type="spellEnd"/>
      <w:r w:rsidRPr="0092730C">
        <w:rPr>
          <w:rFonts w:eastAsia="Andale Sans UI"/>
          <w:bCs/>
          <w:iCs/>
          <w:kern w:val="2"/>
          <w:sz w:val="28"/>
          <w:szCs w:val="28"/>
          <w:lang w:val="ru-RU"/>
        </w:rPr>
        <w:t xml:space="preserve"> </w:t>
      </w:r>
      <w:proofErr w:type="spellStart"/>
      <w:r w:rsidRPr="0092730C">
        <w:rPr>
          <w:rFonts w:eastAsia="Andale Sans UI"/>
          <w:bCs/>
          <w:iCs/>
          <w:kern w:val="2"/>
          <w:sz w:val="28"/>
          <w:szCs w:val="28"/>
          <w:lang w:val="ru-RU"/>
        </w:rPr>
        <w:t>від</w:t>
      </w:r>
      <w:proofErr w:type="spellEnd"/>
      <w:r w:rsidRPr="0092730C">
        <w:rPr>
          <w:rFonts w:eastAsia="Andale Sans UI"/>
          <w:bCs/>
          <w:iCs/>
          <w:kern w:val="2"/>
          <w:sz w:val="28"/>
          <w:szCs w:val="28"/>
          <w:lang w:val="ru-RU"/>
        </w:rPr>
        <w:t xml:space="preserve"> 15.07.97 № 765.</w:t>
      </w:r>
    </w:p>
    <w:p w:rsidR="0044255F" w:rsidRPr="00EF4CD6" w:rsidRDefault="006438F8" w:rsidP="0092730C">
      <w:pPr>
        <w:tabs>
          <w:tab w:val="left" w:pos="180"/>
        </w:tabs>
        <w:jc w:val="both"/>
        <w:rPr>
          <w:b/>
          <w:sz w:val="28"/>
          <w:szCs w:val="28"/>
        </w:rPr>
      </w:pPr>
      <w:r w:rsidRPr="00EF4CD6">
        <w:rPr>
          <w:b/>
          <w:sz w:val="28"/>
          <w:szCs w:val="28"/>
        </w:rPr>
        <w:t xml:space="preserve">      </w:t>
      </w:r>
      <w:r w:rsidR="00A0247F" w:rsidRPr="00EF4CD6">
        <w:rPr>
          <w:b/>
          <w:sz w:val="28"/>
          <w:szCs w:val="28"/>
        </w:rPr>
        <w:t>5. Обґрунтування розміру бюджетного призначення:</w:t>
      </w:r>
      <w:r w:rsidR="00A0247F" w:rsidRPr="00EF4CD6">
        <w:rPr>
          <w:sz w:val="28"/>
          <w:szCs w:val="28"/>
        </w:rPr>
        <w:t xml:space="preserve"> розмір бюджетного призначення </w:t>
      </w:r>
      <w:r w:rsidR="0044255F" w:rsidRPr="00EF4CD6">
        <w:rPr>
          <w:sz w:val="28"/>
          <w:szCs w:val="28"/>
        </w:rPr>
        <w:t>для предмет</w:t>
      </w:r>
      <w:r w:rsidR="00270EDE" w:rsidRPr="00EF4CD6">
        <w:rPr>
          <w:sz w:val="28"/>
          <w:szCs w:val="28"/>
        </w:rPr>
        <w:t>у</w:t>
      </w:r>
      <w:r w:rsidR="0044255F" w:rsidRPr="00EF4CD6">
        <w:rPr>
          <w:sz w:val="28"/>
          <w:szCs w:val="28"/>
        </w:rPr>
        <w:t xml:space="preserve"> закупів</w:t>
      </w:r>
      <w:r w:rsidR="007C2BD8" w:rsidRPr="00EF4CD6">
        <w:rPr>
          <w:sz w:val="28"/>
          <w:szCs w:val="28"/>
        </w:rPr>
        <w:t>л</w:t>
      </w:r>
      <w:r w:rsidR="00270EDE" w:rsidRPr="00EF4CD6">
        <w:rPr>
          <w:sz w:val="28"/>
          <w:szCs w:val="28"/>
        </w:rPr>
        <w:t>і</w:t>
      </w:r>
      <w:r w:rsidR="0044255F" w:rsidRPr="00EF4CD6">
        <w:rPr>
          <w:sz w:val="28"/>
          <w:szCs w:val="28"/>
        </w:rPr>
        <w:t xml:space="preserve"> відповідає розрахунку видатків до кошторису </w:t>
      </w:r>
      <w:r w:rsidR="00270EDE" w:rsidRPr="00EF4CD6">
        <w:rPr>
          <w:sz w:val="28"/>
          <w:szCs w:val="28"/>
        </w:rPr>
        <w:t xml:space="preserve">Полтавської митниці </w:t>
      </w:r>
      <w:r w:rsidR="0044255F" w:rsidRPr="00EF4CD6">
        <w:rPr>
          <w:sz w:val="28"/>
          <w:szCs w:val="28"/>
        </w:rPr>
        <w:t>на 202</w:t>
      </w:r>
      <w:r w:rsidR="007C2BD8" w:rsidRPr="00EF4CD6">
        <w:rPr>
          <w:sz w:val="28"/>
          <w:szCs w:val="28"/>
        </w:rPr>
        <w:t>3</w:t>
      </w:r>
      <w:r w:rsidR="0044255F" w:rsidRPr="00EF4CD6">
        <w:rPr>
          <w:sz w:val="28"/>
          <w:szCs w:val="28"/>
        </w:rPr>
        <w:t xml:space="preserve"> рік </w:t>
      </w:r>
      <w:r w:rsidR="00EF4CD6" w:rsidRPr="00EF4CD6">
        <w:rPr>
          <w:sz w:val="28"/>
          <w:szCs w:val="28"/>
        </w:rPr>
        <w:t xml:space="preserve">(зі змінами) по </w:t>
      </w:r>
      <w:r w:rsidR="0044255F" w:rsidRPr="00EF4CD6">
        <w:rPr>
          <w:sz w:val="28"/>
          <w:szCs w:val="28"/>
        </w:rPr>
        <w:t>загальн</w:t>
      </w:r>
      <w:r w:rsidR="00EF4CD6" w:rsidRPr="00EF4CD6">
        <w:rPr>
          <w:sz w:val="28"/>
          <w:szCs w:val="28"/>
        </w:rPr>
        <w:t>ому</w:t>
      </w:r>
      <w:r w:rsidR="0044255F" w:rsidRPr="00EF4CD6">
        <w:rPr>
          <w:sz w:val="28"/>
          <w:szCs w:val="28"/>
        </w:rPr>
        <w:t xml:space="preserve"> фонд</w:t>
      </w:r>
      <w:r w:rsidR="00EF4CD6" w:rsidRPr="00EF4CD6">
        <w:rPr>
          <w:sz w:val="28"/>
          <w:szCs w:val="28"/>
        </w:rPr>
        <w:t>у</w:t>
      </w:r>
      <w:r w:rsidR="0044255F" w:rsidRPr="00EF4CD6">
        <w:rPr>
          <w:sz w:val="28"/>
          <w:szCs w:val="28"/>
        </w:rPr>
        <w:t xml:space="preserve"> за КПКВК 3506010 «Керівництво та управління у сфері митної політики»</w:t>
      </w:r>
      <w:r w:rsidR="00853255" w:rsidRPr="00EF4CD6">
        <w:rPr>
          <w:sz w:val="28"/>
          <w:szCs w:val="28"/>
        </w:rPr>
        <w:t xml:space="preserve"> з урахуванням середньої ринкової вартості аналогічних послуг</w:t>
      </w:r>
      <w:r w:rsidR="0044255F" w:rsidRPr="00EF4CD6">
        <w:rPr>
          <w:sz w:val="28"/>
          <w:szCs w:val="28"/>
        </w:rPr>
        <w:t>.</w:t>
      </w:r>
    </w:p>
    <w:p w:rsidR="007F146A" w:rsidRPr="00EF4CD6" w:rsidRDefault="00A0247F" w:rsidP="007919B9">
      <w:pPr>
        <w:ind w:firstLine="567"/>
        <w:contextualSpacing/>
        <w:jc w:val="both"/>
        <w:rPr>
          <w:sz w:val="28"/>
          <w:szCs w:val="28"/>
        </w:rPr>
      </w:pPr>
      <w:r w:rsidRPr="00EF4CD6">
        <w:rPr>
          <w:b/>
          <w:sz w:val="28"/>
          <w:szCs w:val="28"/>
        </w:rPr>
        <w:lastRenderedPageBreak/>
        <w:t>6. Очікувана вартість предмета закупівлі:</w:t>
      </w:r>
      <w:r w:rsidR="00500435" w:rsidRPr="00EF4CD6">
        <w:rPr>
          <w:b/>
          <w:sz w:val="28"/>
          <w:szCs w:val="28"/>
        </w:rPr>
        <w:t xml:space="preserve"> </w:t>
      </w:r>
      <w:r w:rsidR="0092730C" w:rsidRPr="0092730C">
        <w:rPr>
          <w:sz w:val="28"/>
          <w:szCs w:val="28"/>
        </w:rPr>
        <w:t>1</w:t>
      </w:r>
      <w:r w:rsidR="00EF4CD6" w:rsidRPr="00EF4CD6">
        <w:rPr>
          <w:sz w:val="28"/>
          <w:szCs w:val="28"/>
        </w:rPr>
        <w:t>0</w:t>
      </w:r>
      <w:r w:rsidR="0092730C">
        <w:rPr>
          <w:sz w:val="28"/>
          <w:szCs w:val="28"/>
        </w:rPr>
        <w:t>150</w:t>
      </w:r>
      <w:r w:rsidR="00EF4CD6" w:rsidRPr="00EF4CD6">
        <w:rPr>
          <w:sz w:val="28"/>
          <w:szCs w:val="28"/>
        </w:rPr>
        <w:t>,00 грн. з ПДВ</w:t>
      </w:r>
      <w:r w:rsidR="007B3889" w:rsidRPr="00EF4CD6">
        <w:rPr>
          <w:sz w:val="28"/>
          <w:szCs w:val="28"/>
        </w:rPr>
        <w:t>.</w:t>
      </w:r>
    </w:p>
    <w:p w:rsidR="00057AFB" w:rsidRPr="00EF4CD6" w:rsidRDefault="00500435" w:rsidP="007919B9">
      <w:pPr>
        <w:ind w:firstLine="567"/>
        <w:contextualSpacing/>
        <w:jc w:val="both"/>
        <w:rPr>
          <w:sz w:val="28"/>
          <w:szCs w:val="28"/>
        </w:rPr>
      </w:pPr>
      <w:r w:rsidRPr="00EF4CD6">
        <w:rPr>
          <w:sz w:val="28"/>
          <w:szCs w:val="28"/>
        </w:rPr>
        <w:t xml:space="preserve"> </w:t>
      </w:r>
    </w:p>
    <w:p w:rsidR="00964E6F" w:rsidRPr="00EF4CD6" w:rsidRDefault="00A0247F" w:rsidP="007919B9">
      <w:pPr>
        <w:ind w:firstLine="567"/>
        <w:contextualSpacing/>
        <w:jc w:val="both"/>
        <w:rPr>
          <w:sz w:val="28"/>
          <w:szCs w:val="28"/>
        </w:rPr>
      </w:pPr>
      <w:r w:rsidRPr="00EF4CD6">
        <w:rPr>
          <w:b/>
          <w:sz w:val="28"/>
          <w:szCs w:val="28"/>
        </w:rPr>
        <w:t>7. Обґрунтування очікуваної вартості предмета закупівлі:</w:t>
      </w:r>
      <w:r w:rsidRPr="00EF4CD6">
        <w:rPr>
          <w:sz w:val="28"/>
          <w:szCs w:val="28"/>
        </w:rPr>
        <w:t xml:space="preserve"> </w:t>
      </w:r>
    </w:p>
    <w:p w:rsidR="00006754" w:rsidRPr="00EF4CD6" w:rsidRDefault="00853255" w:rsidP="00C224AA">
      <w:pPr>
        <w:ind w:firstLine="567"/>
        <w:contextualSpacing/>
        <w:jc w:val="both"/>
        <w:rPr>
          <w:sz w:val="28"/>
          <w:szCs w:val="28"/>
        </w:rPr>
      </w:pPr>
      <w:r w:rsidRPr="00EF4CD6">
        <w:rPr>
          <w:sz w:val="28"/>
          <w:szCs w:val="28"/>
        </w:rPr>
        <w:t>Н</w:t>
      </w:r>
      <w:r w:rsidR="00006754" w:rsidRPr="00EF4CD6">
        <w:rPr>
          <w:sz w:val="28"/>
          <w:szCs w:val="28"/>
        </w:rPr>
        <w:t>аказом Міністерства розвитку економіки, торгівлі та сільського господарства України від 18.02.2020 №</w:t>
      </w:r>
      <w:r w:rsidRPr="00EF4CD6">
        <w:rPr>
          <w:sz w:val="28"/>
          <w:szCs w:val="28"/>
        </w:rPr>
        <w:t xml:space="preserve"> </w:t>
      </w:r>
      <w:r w:rsidR="00006754" w:rsidRPr="00EF4CD6">
        <w:rPr>
          <w:sz w:val="28"/>
          <w:szCs w:val="28"/>
        </w:rPr>
        <w:t>275 затверджена примірна методика визначення очікуваної вартості предмет</w:t>
      </w:r>
      <w:r w:rsidR="00064CCA" w:rsidRPr="00EF4CD6">
        <w:rPr>
          <w:sz w:val="28"/>
          <w:szCs w:val="28"/>
        </w:rPr>
        <w:t>у</w:t>
      </w:r>
      <w:r w:rsidR="00006754" w:rsidRPr="00EF4CD6">
        <w:rPr>
          <w:sz w:val="28"/>
          <w:szCs w:val="28"/>
        </w:rPr>
        <w:t xml:space="preserve"> закупівлі, якою передбачені методи визначення очікуваної вартості предмет</w:t>
      </w:r>
      <w:r w:rsidR="00064CCA" w:rsidRPr="00EF4CD6">
        <w:rPr>
          <w:sz w:val="28"/>
          <w:szCs w:val="28"/>
        </w:rPr>
        <w:t>у</w:t>
      </w:r>
      <w:r w:rsidR="00006754" w:rsidRPr="00EF4CD6">
        <w:rPr>
          <w:sz w:val="28"/>
          <w:szCs w:val="28"/>
        </w:rPr>
        <w:t xml:space="preserve"> закупівлі.</w:t>
      </w:r>
    </w:p>
    <w:p w:rsidR="00006754" w:rsidRPr="00EF4CD6" w:rsidRDefault="00006754" w:rsidP="00006754">
      <w:pPr>
        <w:ind w:firstLine="709"/>
        <w:contextualSpacing/>
        <w:jc w:val="both"/>
        <w:rPr>
          <w:sz w:val="28"/>
          <w:szCs w:val="28"/>
        </w:rPr>
      </w:pPr>
      <w:r w:rsidRPr="00EF4CD6">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EF4CD6">
        <w:rPr>
          <w:sz w:val="28"/>
          <w:szCs w:val="28"/>
        </w:rPr>
        <w:t>я</w:t>
      </w:r>
      <w:r w:rsidRPr="00EF4CD6">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EF4CD6">
        <w:rPr>
          <w:sz w:val="28"/>
          <w:szCs w:val="28"/>
          <w:lang w:val="en-US"/>
        </w:rPr>
        <w:t>Pr</w:t>
      </w:r>
      <w:proofErr w:type="spellEnd"/>
      <w:r w:rsidRPr="00EF4CD6">
        <w:rPr>
          <w:sz w:val="28"/>
          <w:szCs w:val="28"/>
        </w:rPr>
        <w:t>о</w:t>
      </w:r>
      <w:r w:rsidR="00F70454" w:rsidRPr="00EF4CD6">
        <w:rPr>
          <w:sz w:val="28"/>
          <w:szCs w:val="28"/>
          <w:lang w:val="en-US"/>
        </w:rPr>
        <w:t>z</w:t>
      </w:r>
      <w:r w:rsidRPr="00EF4CD6">
        <w:rPr>
          <w:sz w:val="28"/>
          <w:szCs w:val="28"/>
        </w:rPr>
        <w:t>о</w:t>
      </w:r>
      <w:proofErr w:type="spellStart"/>
      <w:r w:rsidR="00F70454" w:rsidRPr="00EF4CD6">
        <w:rPr>
          <w:sz w:val="28"/>
          <w:szCs w:val="28"/>
          <w:lang w:val="en-US"/>
        </w:rPr>
        <w:t>rr</w:t>
      </w:r>
      <w:proofErr w:type="spellEnd"/>
      <w:r w:rsidRPr="00EF4CD6">
        <w:rPr>
          <w:sz w:val="28"/>
          <w:szCs w:val="28"/>
        </w:rPr>
        <w:t>о» тощо.</w:t>
      </w:r>
      <w:r w:rsidR="00057AFB" w:rsidRPr="00EF4CD6">
        <w:rPr>
          <w:sz w:val="28"/>
          <w:szCs w:val="28"/>
        </w:rPr>
        <w:t xml:space="preserve"> </w:t>
      </w:r>
      <w:r w:rsidRPr="00EF4CD6">
        <w:rPr>
          <w:sz w:val="28"/>
          <w:szCs w:val="28"/>
        </w:rPr>
        <w:t xml:space="preserve">Відповідно до вказаної методики, очікувана вартість предмету закупівлі становить </w:t>
      </w:r>
      <w:r w:rsidR="0092730C" w:rsidRPr="0092730C">
        <w:rPr>
          <w:sz w:val="28"/>
          <w:szCs w:val="28"/>
        </w:rPr>
        <w:t xml:space="preserve">10150,00 </w:t>
      </w:r>
      <w:r w:rsidRPr="00EF4CD6">
        <w:rPr>
          <w:sz w:val="28"/>
          <w:szCs w:val="28"/>
        </w:rPr>
        <w:t>грн</w:t>
      </w:r>
      <w:r w:rsidR="00064CCA" w:rsidRPr="00EF4CD6">
        <w:rPr>
          <w:sz w:val="28"/>
          <w:szCs w:val="28"/>
        </w:rPr>
        <w:t>.</w:t>
      </w:r>
      <w:r w:rsidRPr="00EF4CD6">
        <w:rPr>
          <w:sz w:val="28"/>
          <w:szCs w:val="28"/>
        </w:rPr>
        <w:t xml:space="preserve"> з ПДВ, що відповідає розміру бюджетного призначення.</w:t>
      </w:r>
    </w:p>
    <w:p w:rsidR="00BF492B" w:rsidRPr="00EF4CD6" w:rsidRDefault="00BF492B" w:rsidP="00006754">
      <w:pPr>
        <w:ind w:firstLine="709"/>
        <w:contextualSpacing/>
        <w:jc w:val="both"/>
        <w:rPr>
          <w:sz w:val="28"/>
          <w:szCs w:val="28"/>
        </w:rPr>
      </w:pPr>
      <w:r w:rsidRPr="00EF4CD6">
        <w:rPr>
          <w:b/>
          <w:sz w:val="28"/>
          <w:szCs w:val="28"/>
        </w:rPr>
        <w:t>8. Застосування виключення:</w:t>
      </w:r>
      <w:r w:rsidRPr="00EF4CD6">
        <w:rPr>
          <w:sz w:val="28"/>
          <w:szCs w:val="28"/>
        </w:rPr>
        <w:t xml:space="preserve"> не застосовується. Закупівля проводиться із застосуванням відкритих торгів з особливостями.</w:t>
      </w:r>
    </w:p>
    <w:p w:rsidR="00BC7695" w:rsidRPr="00EF4CD6" w:rsidRDefault="00BC7695">
      <w:pPr>
        <w:ind w:firstLine="709"/>
        <w:contextualSpacing/>
        <w:jc w:val="both"/>
        <w:rPr>
          <w:sz w:val="28"/>
          <w:szCs w:val="28"/>
        </w:rPr>
      </w:pPr>
    </w:p>
    <w:sectPr w:rsidR="00BC7695" w:rsidRPr="00EF4CD6"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8A" w:rsidRDefault="00EE188A">
      <w:r>
        <w:separator/>
      </w:r>
    </w:p>
  </w:endnote>
  <w:endnote w:type="continuationSeparator" w:id="0">
    <w:p w:rsidR="00EE188A" w:rsidRDefault="00EE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8A" w:rsidRDefault="00EE188A">
      <w:r>
        <w:separator/>
      </w:r>
    </w:p>
  </w:footnote>
  <w:footnote w:type="continuationSeparator" w:id="0">
    <w:p w:rsidR="00EE188A" w:rsidRDefault="00EE1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7"/>
  </w:num>
  <w:num w:numId="3">
    <w:abstractNumId w:val="13"/>
  </w:num>
  <w:num w:numId="4">
    <w:abstractNumId w:val="8"/>
  </w:num>
  <w:num w:numId="5">
    <w:abstractNumId w:val="3"/>
  </w:num>
  <w:num w:numId="6">
    <w:abstractNumId w:val="2"/>
  </w:num>
  <w:num w:numId="7">
    <w:abstractNumId w:val="15"/>
  </w:num>
  <w:num w:numId="8">
    <w:abstractNumId w:val="5"/>
  </w:num>
  <w:num w:numId="9">
    <w:abstractNumId w:val="6"/>
  </w:num>
  <w:num w:numId="10">
    <w:abstractNumId w:val="9"/>
  </w:num>
  <w:num w:numId="11">
    <w:abstractNumId w:val="12"/>
  </w:num>
  <w:num w:numId="12">
    <w:abstractNumId w:val="11"/>
  </w:num>
  <w:num w:numId="13">
    <w:abstractNumId w:val="14"/>
  </w:num>
  <w:num w:numId="14">
    <w:abstractNumId w:val="10"/>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5C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4764"/>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730C"/>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0CF"/>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188A"/>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5153</Words>
  <Characters>2938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2023-10-11T06:20:00Z</dcterms:created>
  <dcterms:modified xsi:type="dcterms:W3CDTF">2023-10-11T06:29:00Z</dcterms:modified>
</cp:coreProperties>
</file>