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D0724B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CD66B9">
        <w:rPr>
          <w:rFonts w:eastAsia="Calibri"/>
          <w:color w:val="000000"/>
          <w:sz w:val="28"/>
          <w:szCs w:val="28"/>
        </w:rPr>
        <w:t>«</w:t>
      </w:r>
      <w:r w:rsidR="00CD66B9" w:rsidRPr="00CD66B9">
        <w:rPr>
          <w:rStyle w:val="fw500"/>
          <w:rFonts w:eastAsia="Batang"/>
          <w:sz w:val="28"/>
          <w:szCs w:val="28"/>
        </w:rPr>
        <w:t xml:space="preserve">Послуги охорони приміщення бюджетної установи (приміщень митного поста "Дружба" Сумської митниці, що розташовані за адресою: вул. Привокзальна, 2, м. Дружба, </w:t>
      </w:r>
      <w:proofErr w:type="spellStart"/>
      <w:r w:rsidR="00CD66B9" w:rsidRPr="00CD66B9">
        <w:rPr>
          <w:rStyle w:val="fw500"/>
          <w:rFonts w:eastAsia="Batang"/>
          <w:sz w:val="28"/>
          <w:szCs w:val="28"/>
        </w:rPr>
        <w:t>Шосткинського</w:t>
      </w:r>
      <w:proofErr w:type="spellEnd"/>
      <w:r w:rsidR="00CD66B9" w:rsidRPr="00CD66B9">
        <w:rPr>
          <w:rStyle w:val="fw500"/>
          <w:rFonts w:eastAsia="Batang"/>
          <w:sz w:val="28"/>
          <w:szCs w:val="28"/>
        </w:rPr>
        <w:t xml:space="preserve"> району, Сумської області).</w:t>
      </w:r>
      <w:r w:rsidR="00107AEC" w:rsidRPr="00CD66B9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CD66B9">
        <w:rPr>
          <w:rFonts w:eastAsia="Calibri"/>
          <w:color w:val="000000"/>
          <w:sz w:val="28"/>
          <w:szCs w:val="28"/>
        </w:rPr>
        <w:t>7971</w:t>
      </w:r>
      <w:r w:rsidR="00107AEC">
        <w:rPr>
          <w:rFonts w:eastAsia="Calibri"/>
          <w:color w:val="000000"/>
          <w:sz w:val="28"/>
          <w:szCs w:val="28"/>
        </w:rPr>
        <w:t>0000-</w:t>
      </w:r>
      <w:r w:rsidR="00CD66B9">
        <w:rPr>
          <w:rFonts w:eastAsia="Calibri"/>
          <w:color w:val="000000"/>
          <w:sz w:val="28"/>
          <w:szCs w:val="28"/>
        </w:rPr>
        <w:t>4</w:t>
      </w:r>
      <w:r w:rsidR="00D0724B">
        <w:rPr>
          <w:rFonts w:eastAsia="Calibri"/>
          <w:color w:val="000000"/>
          <w:sz w:val="28"/>
          <w:szCs w:val="28"/>
        </w:rPr>
        <w:t xml:space="preserve"> </w:t>
      </w:r>
      <w:r w:rsidR="00CD66B9">
        <w:rPr>
          <w:sz w:val="28"/>
          <w:szCs w:val="28"/>
        </w:rPr>
        <w:t>Охоронні послуги</w:t>
      </w:r>
      <w:r w:rsidRPr="00D0724B">
        <w:rPr>
          <w:rFonts w:eastAsia="Calibri"/>
          <w:color w:val="000000"/>
          <w:sz w:val="28"/>
          <w:szCs w:val="28"/>
        </w:rPr>
        <w:t>»</w:t>
      </w:r>
      <w:r w:rsidR="00614053" w:rsidRPr="00D0724B">
        <w:rPr>
          <w:rFonts w:eastAsia="Calibri"/>
          <w:color w:val="000000"/>
          <w:sz w:val="28"/>
          <w:szCs w:val="28"/>
        </w:rPr>
        <w:t>.</w:t>
      </w:r>
      <w:r w:rsidRPr="00D0724B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hyperlink r:id="rId8" w:tgtFrame="_blank" w:history="1">
        <w:r w:rsidR="00CD66B9" w:rsidRPr="00CD66B9">
          <w:rPr>
            <w:color w:val="0000FF"/>
            <w:u w:val="single"/>
          </w:rPr>
          <w:t>UA-2023-10-10-004496-a</w:t>
        </w:r>
      </w:hyperlink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tbl>
      <w:tblPr>
        <w:tblpPr w:leftFromText="180" w:rightFromText="180" w:vertAnchor="text" w:tblpY="1"/>
        <w:tblOverlap w:val="never"/>
        <w:tblW w:w="9322" w:type="dxa"/>
        <w:tblLook w:val="00A0" w:firstRow="1" w:lastRow="0" w:firstColumn="1" w:lastColumn="0" w:noHBand="0" w:noVBand="0"/>
      </w:tblPr>
      <w:tblGrid>
        <w:gridCol w:w="2321"/>
        <w:gridCol w:w="7001"/>
      </w:tblGrid>
      <w:tr w:rsidR="00CD66B9" w:rsidRPr="00CD66B9" w:rsidTr="00780E6B">
        <w:trPr>
          <w:trHeight w:val="255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6B9" w:rsidRPr="00CD66B9" w:rsidRDefault="00CD66B9" w:rsidP="00CD66B9">
            <w:pPr>
              <w:tabs>
                <w:tab w:val="left" w:pos="4680"/>
              </w:tabs>
              <w:suppressAutoHyphens/>
              <w:jc w:val="center"/>
              <w:rPr>
                <w:bCs/>
              </w:rPr>
            </w:pPr>
            <w:r w:rsidRPr="00CD66B9">
              <w:rPr>
                <w:bCs/>
              </w:rPr>
              <w:t>Найменування послуги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6B9" w:rsidRPr="00CD66B9" w:rsidRDefault="00CD66B9" w:rsidP="00CD66B9">
            <w:pPr>
              <w:tabs>
                <w:tab w:val="left" w:pos="4680"/>
              </w:tabs>
              <w:suppressAutoHyphens/>
              <w:jc w:val="center"/>
              <w:rPr>
                <w:bCs/>
              </w:rPr>
            </w:pPr>
            <w:r w:rsidRPr="00CD66B9">
              <w:rPr>
                <w:bCs/>
              </w:rPr>
              <w:t>Характеристики</w:t>
            </w:r>
          </w:p>
        </w:tc>
      </w:tr>
      <w:tr w:rsidR="00CD66B9" w:rsidRPr="00CD66B9" w:rsidTr="00780E6B">
        <w:trPr>
          <w:trHeight w:val="51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D66B9" w:rsidRPr="00CD66B9" w:rsidRDefault="00CD66B9" w:rsidP="00CD66B9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D66B9">
              <w:rPr>
                <w:b/>
              </w:rPr>
              <w:t>Послуги із централізованої  охорони нежитлового приміщення.</w:t>
            </w:r>
          </w:p>
          <w:p w:rsidR="00CD66B9" w:rsidRPr="00CD66B9" w:rsidRDefault="00CD66B9" w:rsidP="00CD66B9">
            <w:pPr>
              <w:tabs>
                <w:tab w:val="left" w:pos="468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6B9" w:rsidRPr="00CD66B9" w:rsidRDefault="00CD66B9" w:rsidP="00CD66B9">
            <w:pPr>
              <w:suppressAutoHyphens/>
              <w:jc w:val="center"/>
            </w:pPr>
          </w:p>
          <w:p w:rsidR="00CD66B9" w:rsidRPr="00CD66B9" w:rsidRDefault="00CD66B9" w:rsidP="00CD66B9">
            <w:pPr>
              <w:suppressAutoHyphens/>
              <w:jc w:val="both"/>
              <w:rPr>
                <w:b/>
                <w:bCs/>
              </w:rPr>
            </w:pPr>
            <w:r w:rsidRPr="00CD66B9">
              <w:rPr>
                <w:b/>
              </w:rPr>
              <w:t xml:space="preserve"> Виконавець зобов</w:t>
            </w:r>
            <w:r w:rsidRPr="00CD66B9">
              <w:t>'</w:t>
            </w:r>
            <w:r w:rsidRPr="00CD66B9">
              <w:rPr>
                <w:b/>
              </w:rPr>
              <w:t>язаний:</w:t>
            </w:r>
          </w:p>
          <w:p w:rsidR="00CD66B9" w:rsidRPr="00CD66B9" w:rsidRDefault="00CD66B9" w:rsidP="00CD66B9">
            <w:pPr>
              <w:suppressAutoHyphens/>
              <w:jc w:val="both"/>
              <w:rPr>
                <w:b/>
              </w:rPr>
            </w:pPr>
          </w:p>
          <w:p w:rsidR="00CD66B9" w:rsidRPr="00CD66B9" w:rsidRDefault="00CD66B9" w:rsidP="00CD66B9">
            <w:pPr>
              <w:suppressAutoHyphens/>
              <w:jc w:val="both"/>
            </w:pPr>
            <w:r w:rsidRPr="00CD66B9">
              <w:t>1. Приймати Об'єкт під централізовану охорону і здійснювати його охорону за допомогою технічних засобів в дні і часи, обумовлені Договором, або за окремою домовленістю Сторін;</w:t>
            </w:r>
          </w:p>
          <w:p w:rsidR="00CD66B9" w:rsidRPr="00CD66B9" w:rsidRDefault="00CD66B9" w:rsidP="00CD66B9">
            <w:pPr>
              <w:suppressAutoHyphens/>
              <w:jc w:val="both"/>
            </w:pPr>
            <w:r w:rsidRPr="00CD66B9">
              <w:t>2. Забезпечувати своєчасний виїзд та прибуття на Об'єкт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нагляду;</w:t>
            </w:r>
          </w:p>
          <w:p w:rsidR="00CD66B9" w:rsidRPr="00CD66B9" w:rsidRDefault="00CD66B9" w:rsidP="00CD66B9">
            <w:pPr>
              <w:suppressAutoHyphens/>
              <w:jc w:val="both"/>
            </w:pPr>
            <w:r w:rsidRPr="00CD66B9">
              <w:t xml:space="preserve">3. У разі виявлення групою реагування Виконавця ознак проникнення на Об’єкт сторонніх осіб, або його пошкодження, вжити заходів по його блокуванню і затриманню осіб, які це скоїли, негайно сповістити про цю пригоду чергову частину органів внутрішніх справ за </w:t>
            </w:r>
            <w:proofErr w:type="spellStart"/>
            <w:r w:rsidRPr="00CD66B9">
              <w:t>територіальністю</w:t>
            </w:r>
            <w:proofErr w:type="spellEnd"/>
            <w:r w:rsidRPr="00CD66B9">
              <w:t xml:space="preserve"> місця розташування Об’єкту та представників Замовника, здійснювати охорону Об'єкту силами групи реагування до прибуття на Об'єкт </w:t>
            </w:r>
            <w:proofErr w:type="spellStart"/>
            <w:r w:rsidRPr="00CD66B9">
              <w:t>слідчо</w:t>
            </w:r>
            <w:proofErr w:type="spellEnd"/>
            <w:r w:rsidRPr="00CD66B9">
              <w:t xml:space="preserve"> - оперативної групи органів внутрішніх справ та </w:t>
            </w:r>
            <w:r w:rsidRPr="00CD66B9">
              <w:lastRenderedPageBreak/>
              <w:t>представників Замовника;</w:t>
            </w:r>
          </w:p>
          <w:p w:rsidR="00CD66B9" w:rsidRPr="00CD66B9" w:rsidRDefault="00CD66B9" w:rsidP="00CD66B9">
            <w:pPr>
              <w:suppressAutoHyphens/>
              <w:jc w:val="both"/>
            </w:pPr>
            <w:r w:rsidRPr="00CD66B9">
              <w:t>4. У разі спрацювання засобів охоронної сигналізації на Об'єкті, що охороняється, та як наслідок виявлення пожежі на ньому, негайно повідомити про це пожежну частину, вжити заходів по охороні майна, ліквідації пожежі;</w:t>
            </w:r>
          </w:p>
          <w:p w:rsidR="00CD66B9" w:rsidRPr="00CD66B9" w:rsidRDefault="00CD66B9" w:rsidP="00CD66B9">
            <w:pPr>
              <w:suppressAutoHyphens/>
              <w:jc w:val="both"/>
            </w:pPr>
            <w:r w:rsidRPr="00CD66B9">
              <w:t>5. У разі спрацювання засобів сигналізації на Об'єкті і неможливості групою реагування встановити причину їх спрацювання, подальше підключення до системи централізованого спостереження в режим “Охорона” - викликати для встановлення цієї причини відповідального представника Замовника та направити інженера для усунення несправності. Якщо відповідальна особа відмовиться прибути на Об'єкт на протязі двох годин, то через дві години з часу повідомлення Об'єкт слід вважати знятим з охорони;</w:t>
            </w:r>
          </w:p>
          <w:p w:rsidR="00CD66B9" w:rsidRPr="00CD66B9" w:rsidRDefault="00CD66B9" w:rsidP="00CD66B9">
            <w:pPr>
              <w:suppressAutoHyphens/>
              <w:jc w:val="both"/>
            </w:pPr>
            <w:r w:rsidRPr="00CD66B9">
              <w:t>6. В технічно можливий термін усувати причини спрацювання та не включення засобів сигналізації в режим “Охорона”.</w:t>
            </w:r>
          </w:p>
          <w:p w:rsidR="00CD66B9" w:rsidRPr="00CD66B9" w:rsidRDefault="00CD66B9" w:rsidP="00CD66B9">
            <w:pPr>
              <w:suppressAutoHyphens/>
              <w:jc w:val="both"/>
            </w:pPr>
          </w:p>
          <w:p w:rsidR="00CD66B9" w:rsidRPr="00CD66B9" w:rsidRDefault="00CD66B9" w:rsidP="00CD66B9">
            <w:pPr>
              <w:suppressAutoHyphens/>
              <w:jc w:val="both"/>
              <w:rPr>
                <w:b/>
              </w:rPr>
            </w:pPr>
            <w:r w:rsidRPr="00CD66B9">
              <w:rPr>
                <w:b/>
              </w:rPr>
              <w:t>В складі тендерної пропозиції Виконавець  надає наступні документи :</w:t>
            </w:r>
          </w:p>
          <w:p w:rsidR="00CD66B9" w:rsidRPr="00CD66B9" w:rsidRDefault="00CD66B9" w:rsidP="00CD66B9">
            <w:pPr>
              <w:ind w:firstLine="708"/>
              <w:jc w:val="both"/>
              <w:rPr>
                <w:rFonts w:ascii="Arial" w:eastAsia="Calibri" w:hAnsi="Arial" w:cs="Arial"/>
              </w:rPr>
            </w:pPr>
          </w:p>
          <w:p w:rsidR="00CD66B9" w:rsidRPr="00CD66B9" w:rsidRDefault="00CD66B9" w:rsidP="00CD66B9">
            <w:pPr>
              <w:jc w:val="both"/>
              <w:rPr>
                <w:rFonts w:eastAsia="Calibri"/>
              </w:rPr>
            </w:pPr>
            <w:r w:rsidRPr="00CD66B9">
              <w:rPr>
                <w:rFonts w:eastAsia="Calibri"/>
              </w:rPr>
              <w:t>1. Ліцензія на здійснення охоронної діяльності;</w:t>
            </w:r>
          </w:p>
          <w:p w:rsidR="00CD66B9" w:rsidRPr="00CD66B9" w:rsidRDefault="00CD66B9" w:rsidP="00CD66B9">
            <w:pPr>
              <w:jc w:val="both"/>
              <w:rPr>
                <w:rFonts w:eastAsia="Calibri"/>
              </w:rPr>
            </w:pPr>
            <w:r w:rsidRPr="00CD66B9">
              <w:rPr>
                <w:rFonts w:eastAsia="Calibri"/>
              </w:rPr>
              <w:t>2. Документи, що підтверджують наявність пульта централізованого спостереження (ПЦС) за сигналами від приладів тривожної сигналізації та цілодобової диспетчерської служби на території м. Суми;</w:t>
            </w:r>
          </w:p>
          <w:p w:rsidR="00CD66B9" w:rsidRPr="00CD66B9" w:rsidRDefault="00CD66B9" w:rsidP="00CD66B9">
            <w:pPr>
              <w:jc w:val="both"/>
              <w:rPr>
                <w:rFonts w:eastAsia="Calibri"/>
              </w:rPr>
            </w:pPr>
            <w:r w:rsidRPr="00CD66B9">
              <w:rPr>
                <w:rFonts w:eastAsia="Calibri"/>
              </w:rPr>
              <w:t>3. Довідка і копії підтвердних документів про наявність в Учасника мобільних груп швидкого реагування (наказу/розпорядження про створення таких груп на території м. Суми);</w:t>
            </w:r>
          </w:p>
          <w:p w:rsidR="00CD66B9" w:rsidRPr="00CD66B9" w:rsidRDefault="00CD66B9" w:rsidP="00CD66B9">
            <w:pPr>
              <w:jc w:val="both"/>
              <w:rPr>
                <w:rFonts w:eastAsia="Calibri"/>
              </w:rPr>
            </w:pPr>
            <w:r w:rsidRPr="00CD66B9">
              <w:rPr>
                <w:rFonts w:eastAsia="Calibri"/>
              </w:rPr>
              <w:t xml:space="preserve">4. Нотаріально завірені копії документів на підтвердження виділеної </w:t>
            </w:r>
            <w:proofErr w:type="spellStart"/>
            <w:r w:rsidRPr="00CD66B9">
              <w:rPr>
                <w:rFonts w:eastAsia="Calibri"/>
              </w:rPr>
              <w:t>Укрчастотнаглядом</w:t>
            </w:r>
            <w:proofErr w:type="spellEnd"/>
            <w:r w:rsidRPr="00CD66B9">
              <w:rPr>
                <w:rFonts w:eastAsia="Calibri"/>
              </w:rPr>
              <w:t xml:space="preserve"> частоти з використанням базової станції, розташованої на території м. Суми, та наявності дозволу на її експлуатацію з зазначенням адреси встановлення та географічних координат (для забезпечення радіозв’язку між постом охорони та цілодобовою диспетчерською службою учасника);</w:t>
            </w:r>
          </w:p>
          <w:p w:rsidR="00CD66B9" w:rsidRPr="00CD66B9" w:rsidRDefault="00CD66B9" w:rsidP="00CD66B9">
            <w:pPr>
              <w:jc w:val="both"/>
              <w:rPr>
                <w:rFonts w:eastAsia="Calibri"/>
              </w:rPr>
            </w:pPr>
            <w:r w:rsidRPr="00CD66B9">
              <w:rPr>
                <w:rFonts w:eastAsia="Calibri"/>
              </w:rPr>
              <w:t>5. Нотаріально завірені копії дозволів Українського державного центру радіочастот на право експлуатації переносних радіоелектронних засобів радіозв’язку аналогового ультракороткохвильового радіотелефонного зв’язку рухомої служби у м. Суми;</w:t>
            </w:r>
          </w:p>
          <w:p w:rsidR="00CD66B9" w:rsidRPr="00CD66B9" w:rsidRDefault="00CD66B9" w:rsidP="00CD66B9">
            <w:pPr>
              <w:jc w:val="both"/>
              <w:rPr>
                <w:rFonts w:eastAsia="Calibri"/>
              </w:rPr>
            </w:pPr>
            <w:r w:rsidRPr="00CD66B9">
              <w:rPr>
                <w:rFonts w:eastAsia="Calibri"/>
              </w:rPr>
              <w:t xml:space="preserve">6. Документи, що підтверджують наявність в учасника транспорту реагування, який відповідає вимогам Закону України «Про охоронну діяльність», власного або за договором оренди, а саме: </w:t>
            </w:r>
            <w:proofErr w:type="spellStart"/>
            <w:r w:rsidRPr="00CD66B9">
              <w:rPr>
                <w:rFonts w:eastAsia="Calibri"/>
              </w:rPr>
              <w:t>скан-копії</w:t>
            </w:r>
            <w:proofErr w:type="spellEnd"/>
            <w:r w:rsidRPr="00CD66B9">
              <w:rPr>
                <w:rFonts w:eastAsia="Calibri"/>
              </w:rPr>
              <w:t xml:space="preserve"> свідоцтва про реєстрацію транспортних засобів;</w:t>
            </w:r>
          </w:p>
          <w:p w:rsidR="00CD66B9" w:rsidRPr="00CD66B9" w:rsidRDefault="00CD66B9" w:rsidP="00CD66B9">
            <w:pPr>
              <w:jc w:val="both"/>
              <w:rPr>
                <w:rFonts w:eastAsia="Calibri"/>
              </w:rPr>
            </w:pPr>
            <w:r w:rsidRPr="00CD66B9">
              <w:rPr>
                <w:rFonts w:eastAsia="Calibri"/>
              </w:rPr>
              <w:t>7. Сертифікат, який підтверджує, що система управління якістю учасника стосовно надання послуг, які є предметом закупівлі, відповідає ДСТУ EN ISO 9001:2018;</w:t>
            </w:r>
          </w:p>
          <w:p w:rsidR="00CD66B9" w:rsidRPr="00CD66B9" w:rsidRDefault="00CD66B9" w:rsidP="00CD66B9">
            <w:pPr>
              <w:jc w:val="both"/>
              <w:rPr>
                <w:rFonts w:eastAsia="Calibri"/>
              </w:rPr>
            </w:pPr>
            <w:r w:rsidRPr="00CD66B9">
              <w:rPr>
                <w:rFonts w:eastAsia="Calibri"/>
              </w:rPr>
              <w:t>8. Фінансова звітність, яка повинна підтверджувати</w:t>
            </w:r>
            <w:r w:rsidRPr="00CD66B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CD66B9">
              <w:rPr>
                <w:rFonts w:eastAsia="Calibri"/>
              </w:rPr>
              <w:t>обсяг річного доходу (виручки) у розмірі не меншому, ніж очікувана вартість предмета закупівлі.</w:t>
            </w:r>
          </w:p>
          <w:p w:rsidR="00CD66B9" w:rsidRPr="00CD66B9" w:rsidRDefault="00CD66B9" w:rsidP="00CD66B9">
            <w:pPr>
              <w:suppressAutoHyphens/>
              <w:jc w:val="both"/>
              <w:rPr>
                <w:b/>
              </w:rPr>
            </w:pPr>
          </w:p>
          <w:p w:rsidR="00CD66B9" w:rsidRPr="00CD66B9" w:rsidRDefault="00CD66B9" w:rsidP="00CD66B9">
            <w:pPr>
              <w:suppressAutoHyphens/>
              <w:jc w:val="both"/>
            </w:pPr>
          </w:p>
        </w:tc>
      </w:tr>
    </w:tbl>
    <w:p w:rsid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0724B" w:rsidRP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CB5B84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CD66B9" w:rsidRPr="00CD66B9">
        <w:rPr>
          <w:sz w:val="28"/>
          <w:szCs w:val="28"/>
        </w:rPr>
        <w:t xml:space="preserve">Послуги охорони приміщення бюджетної установи (приміщень митного поста "Дружба" Сумської митниці, що розташовані за адресою: вул. Привокзальна, 2, м. Дружба, </w:t>
      </w:r>
      <w:proofErr w:type="spellStart"/>
      <w:r w:rsidR="00CD66B9" w:rsidRPr="00CD66B9">
        <w:rPr>
          <w:sz w:val="28"/>
          <w:szCs w:val="28"/>
        </w:rPr>
        <w:t>Шосткинського</w:t>
      </w:r>
      <w:proofErr w:type="spellEnd"/>
      <w:r w:rsidR="00CD66B9" w:rsidRPr="00CD66B9">
        <w:rPr>
          <w:sz w:val="28"/>
          <w:szCs w:val="28"/>
        </w:rPr>
        <w:t xml:space="preserve"> району, Сумської області).</w:t>
      </w:r>
      <w:r w:rsidR="00104B41" w:rsidRPr="00CD66B9">
        <w:rPr>
          <w:rFonts w:eastAsia="Calibri"/>
          <w:color w:val="000000"/>
          <w:sz w:val="28"/>
          <w:szCs w:val="28"/>
        </w:rPr>
        <w:t>»</w:t>
      </w:r>
      <w:r w:rsidR="00104B41">
        <w:rPr>
          <w:rFonts w:eastAsia="Calibri"/>
          <w:color w:val="000000"/>
          <w:sz w:val="28"/>
          <w:szCs w:val="28"/>
        </w:rPr>
        <w:t xml:space="preserve"> </w:t>
      </w:r>
      <w:r w:rsidR="00104B41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104B41">
        <w:rPr>
          <w:rFonts w:eastAsia="Calibri"/>
          <w:color w:val="000000"/>
          <w:sz w:val="28"/>
          <w:szCs w:val="28"/>
        </w:rPr>
        <w:t xml:space="preserve"> –</w:t>
      </w:r>
      <w:r w:rsidR="00CD66B9" w:rsidRPr="00CD66B9">
        <w:rPr>
          <w:rStyle w:val="valignt"/>
          <w:rFonts w:eastAsia="Batang"/>
          <w:sz w:val="28"/>
          <w:szCs w:val="28"/>
        </w:rPr>
        <w:t>79710000-4 Охоронні послуги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CD66B9">
        <w:rPr>
          <w:sz w:val="28"/>
          <w:szCs w:val="28"/>
        </w:rPr>
        <w:t>2600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bookmarkStart w:id="0" w:name="_GoBack"/>
      <w:bookmarkEnd w:id="0"/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6A" w:rsidRDefault="0099256A">
      <w:r>
        <w:separator/>
      </w:r>
    </w:p>
  </w:endnote>
  <w:endnote w:type="continuationSeparator" w:id="0">
    <w:p w:rsidR="0099256A" w:rsidRDefault="0099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6A" w:rsidRDefault="0099256A">
      <w:r>
        <w:separator/>
      </w:r>
    </w:p>
  </w:footnote>
  <w:footnote w:type="continuationSeparator" w:id="0">
    <w:p w:rsidR="0099256A" w:rsidRDefault="00992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0-10-004496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2023-10-12T13:52:00Z</dcterms:modified>
</cp:coreProperties>
</file>