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039F02B2" w14:textId="614EB984" w:rsidR="00C130F9" w:rsidRPr="00C130F9" w:rsidRDefault="00C345A8" w:rsidP="00C130F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130F9" w:rsidRPr="00C130F9">
        <w:rPr>
          <w:sz w:val="28"/>
          <w:szCs w:val="28"/>
        </w:rPr>
        <w:t>Послуги по заправці і відновленню картриджів до багатофункціональних пристроїв</w:t>
      </w:r>
      <w:r w:rsidR="00C130F9">
        <w:rPr>
          <w:sz w:val="28"/>
          <w:szCs w:val="28"/>
        </w:rPr>
        <w:t xml:space="preserve"> (к</w:t>
      </w:r>
      <w:r w:rsidR="00C130F9" w:rsidRPr="00C130F9">
        <w:rPr>
          <w:sz w:val="28"/>
          <w:szCs w:val="28"/>
        </w:rPr>
        <w:t>од за ДК 021:2015 предмету закупівлі: 50310000-1 Технічне обслуговування і ремонт офісної техніки</w:t>
      </w:r>
      <w:r w:rsidR="00C130F9">
        <w:rPr>
          <w:sz w:val="28"/>
          <w:szCs w:val="28"/>
        </w:rPr>
        <w:t>)</w:t>
      </w:r>
      <w:r w:rsidR="00C130F9" w:rsidRPr="00C130F9">
        <w:rPr>
          <w:sz w:val="28"/>
          <w:szCs w:val="28"/>
        </w:rPr>
        <w:t xml:space="preserve"> </w:t>
      </w:r>
    </w:p>
    <w:p w14:paraId="336B24EF" w14:textId="06370C6F" w:rsidR="00C91B5F" w:rsidRDefault="00C91B5F" w:rsidP="009632A1">
      <w:pPr>
        <w:ind w:firstLine="709"/>
        <w:jc w:val="both"/>
        <w:rPr>
          <w:sz w:val="28"/>
          <w:szCs w:val="28"/>
        </w:rPr>
      </w:pPr>
    </w:p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760FB84F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C130F9" w:rsidRPr="00C130F9">
        <w:rPr>
          <w:sz w:val="28"/>
          <w:szCs w:val="28"/>
        </w:rPr>
        <w:t>UA-2023-10-19-005474-a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55FC7CF2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</w:t>
      </w:r>
      <w:r w:rsidR="00C130F9">
        <w:rPr>
          <w:sz w:val="28"/>
          <w:szCs w:val="28"/>
        </w:rPr>
        <w:t>існує</w:t>
      </w:r>
      <w:r>
        <w:rPr>
          <w:sz w:val="28"/>
          <w:szCs w:val="28"/>
        </w:rPr>
        <w:t xml:space="preserve"> потреба у закупівлі</w:t>
      </w:r>
      <w:r w:rsidR="00DF75F6">
        <w:rPr>
          <w:sz w:val="28"/>
          <w:szCs w:val="28"/>
        </w:rPr>
        <w:t xml:space="preserve"> </w:t>
      </w:r>
      <w:r w:rsidR="009632A1">
        <w:rPr>
          <w:sz w:val="28"/>
          <w:szCs w:val="28"/>
        </w:rPr>
        <w:t>п</w:t>
      </w:r>
      <w:r w:rsidR="009632A1" w:rsidRPr="009632A1">
        <w:rPr>
          <w:sz w:val="28"/>
          <w:szCs w:val="28"/>
        </w:rPr>
        <w:t xml:space="preserve">ослуг </w:t>
      </w:r>
      <w:r w:rsidR="00C130F9" w:rsidRPr="00C130F9">
        <w:rPr>
          <w:sz w:val="28"/>
          <w:szCs w:val="28"/>
        </w:rPr>
        <w:t>по заправці і відновленню картриджів до багатофункціональних пристроїв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39064FA" w14:textId="77777777" w:rsidR="00C91B5F" w:rsidRPr="00DF75F6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67452F5" w14:textId="2F18518B" w:rsidR="00C130F9" w:rsidRDefault="00956251" w:rsidP="00C130F9">
      <w:pPr>
        <w:ind w:firstLine="709"/>
      </w:pPr>
      <w:r>
        <w:rPr>
          <w:sz w:val="28"/>
          <w:szCs w:val="28"/>
        </w:rPr>
        <w:t>4.1.</w:t>
      </w:r>
      <w:r w:rsidR="00C130F9">
        <w:rPr>
          <w:b/>
          <w:bCs/>
          <w:color w:val="000000"/>
        </w:rPr>
        <w:t xml:space="preserve"> </w:t>
      </w:r>
      <w:r w:rsidR="00C130F9" w:rsidRPr="00C130F9">
        <w:rPr>
          <w:sz w:val="28"/>
          <w:szCs w:val="28"/>
        </w:rPr>
        <w:t>Загальні умови</w:t>
      </w:r>
    </w:p>
    <w:p w14:paraId="279F5141" w14:textId="77777777" w:rsidR="00C130F9" w:rsidRDefault="00C130F9" w:rsidP="00C130F9">
      <w:pPr>
        <w:jc w:val="center"/>
        <w:rPr>
          <w:b/>
          <w:bCs/>
          <w:color w:val="000000"/>
        </w:rPr>
      </w:pPr>
    </w:p>
    <w:p w14:paraId="5B68E465" w14:textId="77777777" w:rsidR="00C130F9" w:rsidRPr="00C130F9" w:rsidRDefault="00C130F9" w:rsidP="00C130F9">
      <w:pPr>
        <w:ind w:firstLine="720"/>
        <w:jc w:val="both"/>
        <w:rPr>
          <w:sz w:val="28"/>
          <w:szCs w:val="28"/>
        </w:rPr>
      </w:pPr>
      <w:r w:rsidRPr="00C130F9">
        <w:rPr>
          <w:sz w:val="28"/>
          <w:szCs w:val="28"/>
        </w:rPr>
        <w:t>4.1.1. Дана технічна документація визначає вимоги до послуг, їх обсягу та їх важливих характеристик, що є обов`язковими для дотримання Виконавцем.</w:t>
      </w:r>
    </w:p>
    <w:p w14:paraId="73F76676" w14:textId="636A42FF" w:rsidR="00C130F9" w:rsidRPr="00C130F9" w:rsidRDefault="00C130F9" w:rsidP="00C130F9">
      <w:pPr>
        <w:ind w:firstLine="720"/>
        <w:jc w:val="both"/>
        <w:rPr>
          <w:sz w:val="28"/>
          <w:szCs w:val="28"/>
        </w:rPr>
      </w:pPr>
      <w:r w:rsidRPr="00C130F9">
        <w:rPr>
          <w:sz w:val="28"/>
          <w:szCs w:val="28"/>
        </w:rPr>
        <w:t>4.1.2. Повне та своєчасне виконання всіх викладених нижче вимог до послуг є відповідальністю Виконавця і контролюється Замовником.</w:t>
      </w:r>
    </w:p>
    <w:p w14:paraId="7522A7DD" w14:textId="69695837" w:rsidR="00C130F9" w:rsidRPr="00C130F9" w:rsidRDefault="00C130F9" w:rsidP="00C130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1.3. Послуги повинні бути надані згідно нормативів, передбачених діючим законодавством для такого роду/виду послуг, в тому числі із дотриманням заходів екологічної безпеки та вимог техніки безпеки. </w:t>
      </w:r>
    </w:p>
    <w:p w14:paraId="4D8EB1CF" w14:textId="48B67161" w:rsidR="00C130F9" w:rsidRPr="00C130F9" w:rsidRDefault="00C130F9" w:rsidP="00C130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1.4.  </w:t>
      </w:r>
      <w:r w:rsidRPr="00C130F9">
        <w:rPr>
          <w:color w:val="000000"/>
          <w:sz w:val="28"/>
          <w:szCs w:val="28"/>
          <w:shd w:val="clear" w:color="auto" w:fill="FFFFFF"/>
        </w:rPr>
        <w:t xml:space="preserve">Для відновлення працездатності обладнання мають бути використані витратні матеріали </w:t>
      </w:r>
      <w:proofErr w:type="spellStart"/>
      <w:r w:rsidRPr="00C130F9">
        <w:rPr>
          <w:color w:val="000000"/>
          <w:sz w:val="28"/>
          <w:szCs w:val="28"/>
          <w:shd w:val="clear" w:color="auto" w:fill="FFFFFF"/>
        </w:rPr>
        <w:t>TSi</w:t>
      </w:r>
      <w:proofErr w:type="spellEnd"/>
      <w:r w:rsidRPr="00C130F9">
        <w:rPr>
          <w:color w:val="000000"/>
          <w:sz w:val="28"/>
          <w:szCs w:val="28"/>
          <w:shd w:val="clear" w:color="auto" w:fill="FFFFFF"/>
        </w:rPr>
        <w:t xml:space="preserve"> (або еквівалент), які мають наступні показники: рівень </w:t>
      </w:r>
      <w:proofErr w:type="spellStart"/>
      <w:r w:rsidRPr="00C130F9">
        <w:rPr>
          <w:color w:val="000000"/>
          <w:sz w:val="28"/>
          <w:szCs w:val="28"/>
          <w:shd w:val="clear" w:color="auto" w:fill="FFFFFF"/>
        </w:rPr>
        <w:t>міграціїї</w:t>
      </w:r>
      <w:proofErr w:type="spellEnd"/>
      <w:r w:rsidRPr="00C130F9">
        <w:rPr>
          <w:color w:val="000000"/>
          <w:sz w:val="28"/>
          <w:szCs w:val="28"/>
          <w:shd w:val="clear" w:color="auto" w:fill="FFFFFF"/>
        </w:rPr>
        <w:t xml:space="preserve"> сажі чорної у атмосферне повітря (ГДК </w:t>
      </w:r>
      <w:proofErr w:type="spellStart"/>
      <w:r w:rsidRPr="00C130F9">
        <w:rPr>
          <w:color w:val="000000"/>
          <w:sz w:val="28"/>
          <w:szCs w:val="28"/>
          <w:shd w:val="clear" w:color="auto" w:fill="FFFFFF"/>
        </w:rPr>
        <w:t>с.д</w:t>
      </w:r>
      <w:proofErr w:type="spellEnd"/>
      <w:r w:rsidRPr="00C130F9">
        <w:rPr>
          <w:color w:val="000000"/>
          <w:sz w:val="28"/>
          <w:szCs w:val="28"/>
          <w:shd w:val="clear" w:color="auto" w:fill="FFFFFF"/>
        </w:rPr>
        <w:t>., не більше) – 0,05 мг/м</w:t>
      </w:r>
      <w:r w:rsidRPr="00C130F9">
        <w:rPr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C130F9">
        <w:rPr>
          <w:color w:val="000000"/>
          <w:sz w:val="28"/>
          <w:szCs w:val="28"/>
          <w:shd w:val="clear" w:color="auto" w:fill="FFFFFF"/>
        </w:rPr>
        <w:t>; рівень запаху не перевищує 2-х балів відповідно до «Переліку гранично-допустимих концентрацій хімічних і біологічних чинників в атмосферному повітрі населених місць». На підтвердження надати у складі своєї пропозиції завірену належним чином</w:t>
      </w:r>
      <w:r w:rsidRPr="00C130F9">
        <w:rPr>
          <w:color w:val="000000"/>
          <w:sz w:val="28"/>
          <w:szCs w:val="28"/>
          <w:highlight w:val="white"/>
          <w:shd w:val="clear" w:color="auto" w:fill="FFFFFF"/>
        </w:rPr>
        <w:t xml:space="preserve"> копію</w:t>
      </w:r>
      <w:r w:rsidRPr="00C130F9">
        <w:rPr>
          <w:color w:val="000000"/>
          <w:sz w:val="28"/>
          <w:szCs w:val="28"/>
          <w:shd w:val="clear" w:color="auto" w:fill="FFFFFF"/>
        </w:rPr>
        <w:t xml:space="preserve"> листа авторизації від  виробника/імпортера витратних матеріалів </w:t>
      </w:r>
      <w:proofErr w:type="spellStart"/>
      <w:r w:rsidRPr="00C130F9">
        <w:rPr>
          <w:color w:val="000000"/>
          <w:sz w:val="28"/>
          <w:szCs w:val="28"/>
          <w:shd w:val="clear" w:color="auto" w:fill="FFFFFF"/>
        </w:rPr>
        <w:t>Tsi</w:t>
      </w:r>
      <w:proofErr w:type="spellEnd"/>
      <w:r w:rsidRPr="00C130F9">
        <w:rPr>
          <w:color w:val="000000"/>
          <w:sz w:val="28"/>
          <w:szCs w:val="28"/>
          <w:shd w:val="clear" w:color="auto" w:fill="FFFFFF"/>
        </w:rPr>
        <w:t xml:space="preserve"> (або еквівалент). Лист </w:t>
      </w:r>
      <w:r w:rsidRPr="00C130F9">
        <w:rPr>
          <w:color w:val="000000"/>
          <w:sz w:val="28"/>
          <w:szCs w:val="28"/>
          <w:shd w:val="clear" w:color="auto" w:fill="FFFFFF"/>
        </w:rPr>
        <w:lastRenderedPageBreak/>
        <w:t>авторизації повинен бути створений для участі у даній закупівлі та містити  її ідентифікатор.</w:t>
      </w:r>
    </w:p>
    <w:p w14:paraId="76483B05" w14:textId="1B272F09" w:rsidR="00C130F9" w:rsidRPr="00C130F9" w:rsidRDefault="00C130F9" w:rsidP="00C130F9">
      <w:pPr>
        <w:tabs>
          <w:tab w:val="left" w:pos="709"/>
        </w:tabs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>1.5. Вартість наданих Послуг складається із вартості усіх матеріалів та комплектуючих, вартості тари, упакування і маркування, вантажно - розвантажувальних робіт, податків, зборів та всіх інших витрат, що мають бути здійснені у зв’язку із наданням Послуг.</w:t>
      </w:r>
    </w:p>
    <w:p w14:paraId="4C0D3370" w14:textId="1626F467" w:rsidR="00C130F9" w:rsidRPr="00C130F9" w:rsidRDefault="00C130F9" w:rsidP="00C130F9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>1.6. Для надання Послуг Виконавець використовує власні запасні частини та витратні матеріали.</w:t>
      </w:r>
    </w:p>
    <w:p w14:paraId="317B3D02" w14:textId="54FC078D" w:rsidR="00C130F9" w:rsidRPr="00C130F9" w:rsidRDefault="00C130F9" w:rsidP="00C130F9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</w:t>
      </w:r>
      <w:r w:rsidRPr="00C130F9">
        <w:rPr>
          <w:sz w:val="28"/>
          <w:szCs w:val="28"/>
          <w:lang w:eastAsia="en-US"/>
        </w:rPr>
        <w:t xml:space="preserve">1.7.  Замовник має право здійснювати контроль якості надання Послуг шляхом тестування картриджів, які постачаються Виконавцем в процесі надання послуг. Перевірка якості наданих послуг може проводитись Замовником як під час приймання послуг, так і протягом гарантійного терміну використання </w:t>
      </w:r>
      <w:r w:rsidRPr="00C130F9">
        <w:rPr>
          <w:sz w:val="28"/>
          <w:szCs w:val="28"/>
          <w:highlight w:val="white"/>
          <w:lang w:eastAsia="en-US"/>
        </w:rPr>
        <w:t>картриджів</w:t>
      </w:r>
      <w:r w:rsidRPr="00C130F9">
        <w:rPr>
          <w:sz w:val="28"/>
          <w:szCs w:val="28"/>
          <w:lang w:eastAsia="en-US"/>
        </w:rPr>
        <w:t xml:space="preserve"> (дванадцять місяців з дати підписання акту наданих послуг).</w:t>
      </w:r>
    </w:p>
    <w:p w14:paraId="5FE05017" w14:textId="0731546B" w:rsidR="00C130F9" w:rsidRPr="00C130F9" w:rsidRDefault="00C130F9" w:rsidP="00C130F9">
      <w:pPr>
        <w:tabs>
          <w:tab w:val="left" w:pos="709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1.8. Виконання послуг </w:t>
      </w:r>
      <w:proofErr w:type="spellStart"/>
      <w:r w:rsidRPr="00C130F9">
        <w:rPr>
          <w:sz w:val="28"/>
          <w:szCs w:val="28"/>
        </w:rPr>
        <w:t>здійсюється</w:t>
      </w:r>
      <w:proofErr w:type="spellEnd"/>
      <w:r w:rsidRPr="00C130F9">
        <w:rPr>
          <w:sz w:val="28"/>
          <w:szCs w:val="28"/>
        </w:rPr>
        <w:t xml:space="preserve"> на технічній базі (сервісному центрі) Виконавця, який забезпечує доставку (забирання/повернення) заправлених/відновлених картриджів протягом 3-х годин від моменту подання заявки Замовником. Учасником в складі його пропозиції має бути наданий відповідний гарантійний лист про те, що транспортування (забирання/повернення) заправлених/відновлених картриджів виконується власними засобами Виконавця та входить в ціну договору.</w:t>
      </w:r>
    </w:p>
    <w:p w14:paraId="3B6D5E71" w14:textId="77777777" w:rsidR="00C130F9" w:rsidRPr="00C130F9" w:rsidRDefault="00C130F9" w:rsidP="00C130F9">
      <w:pPr>
        <w:tabs>
          <w:tab w:val="left" w:pos="709"/>
        </w:tabs>
        <w:ind w:firstLine="737"/>
        <w:jc w:val="both"/>
        <w:rPr>
          <w:sz w:val="28"/>
          <w:szCs w:val="28"/>
        </w:rPr>
      </w:pPr>
    </w:p>
    <w:p w14:paraId="6DCCF7F4" w14:textId="4C7B3E78" w:rsidR="00C130F9" w:rsidRPr="00C130F9" w:rsidRDefault="00C130F9" w:rsidP="00C130F9">
      <w:pPr>
        <w:ind w:firstLine="709"/>
        <w:rPr>
          <w:sz w:val="28"/>
          <w:szCs w:val="28"/>
        </w:rPr>
      </w:pPr>
      <w:r w:rsidRPr="00C130F9">
        <w:rPr>
          <w:color w:val="000000"/>
          <w:sz w:val="28"/>
          <w:szCs w:val="28"/>
        </w:rPr>
        <w:t>4.2. Заправка/відновлення тонер картриджів</w:t>
      </w:r>
    </w:p>
    <w:p w14:paraId="6B5142D9" w14:textId="77777777" w:rsidR="00C130F9" w:rsidRPr="00C130F9" w:rsidRDefault="00C130F9" w:rsidP="00C130F9">
      <w:pPr>
        <w:jc w:val="center"/>
        <w:rPr>
          <w:b/>
          <w:bCs/>
          <w:color w:val="000000"/>
          <w:sz w:val="28"/>
          <w:szCs w:val="28"/>
        </w:rPr>
      </w:pPr>
    </w:p>
    <w:p w14:paraId="277E7EBD" w14:textId="66F4D288" w:rsidR="00C130F9" w:rsidRPr="00C130F9" w:rsidRDefault="00C130F9" w:rsidP="00C130F9">
      <w:pPr>
        <w:tabs>
          <w:tab w:val="left" w:pos="709"/>
        </w:tabs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2.1. Послуги заправки картриджів повинні включати: первинне тестування, повне розбирання та очистку під тиском всіх вузлів картриджу, очистку та полірування фото циліндрів/проявників барабану, нанесення </w:t>
      </w:r>
      <w:proofErr w:type="spellStart"/>
      <w:r w:rsidRPr="00C130F9">
        <w:rPr>
          <w:sz w:val="28"/>
          <w:szCs w:val="28"/>
        </w:rPr>
        <w:t>герметизуючих</w:t>
      </w:r>
      <w:proofErr w:type="spellEnd"/>
      <w:r w:rsidRPr="00C130F9">
        <w:rPr>
          <w:sz w:val="28"/>
          <w:szCs w:val="28"/>
        </w:rPr>
        <w:t xml:space="preserve"> </w:t>
      </w:r>
      <w:proofErr w:type="spellStart"/>
      <w:r w:rsidRPr="00C130F9">
        <w:rPr>
          <w:sz w:val="28"/>
          <w:szCs w:val="28"/>
        </w:rPr>
        <w:t>матеріалов</w:t>
      </w:r>
      <w:proofErr w:type="spellEnd"/>
      <w:r w:rsidRPr="00C130F9">
        <w:rPr>
          <w:sz w:val="28"/>
          <w:szCs w:val="28"/>
        </w:rPr>
        <w:t xml:space="preserve"> (мастила)  на основі </w:t>
      </w:r>
      <w:proofErr w:type="spellStart"/>
      <w:r w:rsidRPr="00C130F9">
        <w:rPr>
          <w:sz w:val="28"/>
          <w:szCs w:val="28"/>
        </w:rPr>
        <w:t>складноефірної</w:t>
      </w:r>
      <w:proofErr w:type="spellEnd"/>
      <w:r w:rsidRPr="00C130F9">
        <w:rPr>
          <w:sz w:val="28"/>
          <w:szCs w:val="28"/>
        </w:rPr>
        <w:t xml:space="preserve"> смоли для зменшення коефіцієнта тертя на очищувальне лезо, очищування магнітного валу та валу первинного заряду, заміну ракельного ножа, наповнювання тонером об’ємом не менше заводської норми, заміна </w:t>
      </w:r>
      <w:proofErr w:type="spellStart"/>
      <w:r w:rsidRPr="00C130F9">
        <w:rPr>
          <w:sz w:val="28"/>
          <w:szCs w:val="28"/>
        </w:rPr>
        <w:t>smart</w:t>
      </w:r>
      <w:proofErr w:type="spellEnd"/>
      <w:r w:rsidRPr="00C130F9">
        <w:rPr>
          <w:sz w:val="28"/>
          <w:szCs w:val="28"/>
        </w:rPr>
        <w:t xml:space="preserve">-чипа (в </w:t>
      </w:r>
      <w:proofErr w:type="spellStart"/>
      <w:r w:rsidRPr="00C130F9">
        <w:rPr>
          <w:sz w:val="28"/>
          <w:szCs w:val="28"/>
        </w:rPr>
        <w:t>чіпованих</w:t>
      </w:r>
      <w:proofErr w:type="spellEnd"/>
      <w:r w:rsidRPr="00C130F9">
        <w:rPr>
          <w:sz w:val="28"/>
          <w:szCs w:val="28"/>
        </w:rPr>
        <w:t xml:space="preserve"> картриджах), вихідний контроль якості, перепрограмування чипів </w:t>
      </w:r>
      <w:proofErr w:type="spellStart"/>
      <w:r w:rsidRPr="00C130F9">
        <w:rPr>
          <w:sz w:val="28"/>
          <w:szCs w:val="28"/>
        </w:rPr>
        <w:t>програматором</w:t>
      </w:r>
      <w:proofErr w:type="spellEnd"/>
      <w:r w:rsidRPr="00C130F9">
        <w:rPr>
          <w:sz w:val="28"/>
          <w:szCs w:val="28"/>
        </w:rPr>
        <w:t xml:space="preserve"> чипів картриджів. Дата виготовлення мастил не раніше 01.01.2022 року. Учасник повинен надати копії висновків державної санітарно-епідеміологічної експертизи, виданих Державною службою України з питань безпечності харчових продуктів та захисту споживачів з сертифікатом аналізу на герметизуючі матеріали (мастила), які є безпечними для застосування за призначенням та оточуючого персоналу, дійсні на момент розкриття пропозицій.</w:t>
      </w:r>
    </w:p>
    <w:p w14:paraId="3AD0CE89" w14:textId="46AE8FE2" w:rsidR="00C130F9" w:rsidRPr="00C130F9" w:rsidRDefault="00C130F9" w:rsidP="00C130F9">
      <w:pPr>
        <w:tabs>
          <w:tab w:val="left" w:pos="709"/>
        </w:tabs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>2.2. Послуги відновлення картриджів повинні включати - первинне тестування, повне розбирання та очистку під тиском всіх вузлів картриджу, заміну ракельного ножа, заміна магнітного валу, заміну валу первинного заряду, заміну дозуючого леза, заміну фото циліндрів/</w:t>
      </w:r>
      <w:proofErr w:type="spellStart"/>
      <w:r w:rsidRPr="00C130F9">
        <w:rPr>
          <w:sz w:val="28"/>
          <w:szCs w:val="28"/>
        </w:rPr>
        <w:t>фотобарабанів</w:t>
      </w:r>
      <w:proofErr w:type="spellEnd"/>
      <w:r w:rsidRPr="00C130F9">
        <w:rPr>
          <w:sz w:val="28"/>
          <w:szCs w:val="28"/>
        </w:rPr>
        <w:t xml:space="preserve"> або проявників, перепрограмування чипів </w:t>
      </w:r>
      <w:proofErr w:type="spellStart"/>
      <w:r w:rsidRPr="00C130F9">
        <w:rPr>
          <w:sz w:val="28"/>
          <w:szCs w:val="28"/>
        </w:rPr>
        <w:t>програматором</w:t>
      </w:r>
      <w:proofErr w:type="spellEnd"/>
      <w:r w:rsidRPr="00C130F9">
        <w:rPr>
          <w:sz w:val="28"/>
          <w:szCs w:val="28"/>
        </w:rPr>
        <w:t xml:space="preserve"> чипів картриджів, нанесення мастила для зменшення коефіцієнта тертя на очищувальне лезо, очищування та змащування струмопровідними мастилами електричних </w:t>
      </w:r>
      <w:r w:rsidRPr="00C130F9">
        <w:rPr>
          <w:sz w:val="28"/>
          <w:szCs w:val="28"/>
        </w:rPr>
        <w:lastRenderedPageBreak/>
        <w:t xml:space="preserve">контактів, наповнювання тонером об’ємом не менше заводської норми, заміна </w:t>
      </w:r>
      <w:proofErr w:type="spellStart"/>
      <w:r w:rsidRPr="00C130F9">
        <w:rPr>
          <w:sz w:val="28"/>
          <w:szCs w:val="28"/>
        </w:rPr>
        <w:t>smart</w:t>
      </w:r>
      <w:proofErr w:type="spellEnd"/>
      <w:r w:rsidRPr="00C130F9">
        <w:rPr>
          <w:sz w:val="28"/>
          <w:szCs w:val="28"/>
        </w:rPr>
        <w:t xml:space="preserve">-чипа (в </w:t>
      </w:r>
      <w:proofErr w:type="spellStart"/>
      <w:r w:rsidRPr="00C130F9">
        <w:rPr>
          <w:sz w:val="28"/>
          <w:szCs w:val="28"/>
        </w:rPr>
        <w:t>чіпованих</w:t>
      </w:r>
      <w:proofErr w:type="spellEnd"/>
      <w:r w:rsidRPr="00C130F9">
        <w:rPr>
          <w:sz w:val="28"/>
          <w:szCs w:val="28"/>
        </w:rPr>
        <w:t xml:space="preserve"> картриджах), вихідний контроль якості. На роздруківках не повинно бути дефектів зображення, розмитого або нечіткого зображення, плям, крапок, фону, у тому числі й на зворотній сторінці роздруківки. </w:t>
      </w:r>
    </w:p>
    <w:p w14:paraId="7790283F" w14:textId="7AE9063A" w:rsidR="00C130F9" w:rsidRPr="00C130F9" w:rsidRDefault="00C130F9" w:rsidP="00C130F9">
      <w:pPr>
        <w:pStyle w:val="af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0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C130F9">
        <w:rPr>
          <w:rFonts w:ascii="Times New Roman" w:hAnsi="Times New Roman" w:cs="Times New Roman"/>
          <w:sz w:val="28"/>
          <w:szCs w:val="28"/>
        </w:rPr>
        <w:t>2.3. Виконавець безкоштовно здійснює технічну перевірку щодо працездатності та доцільності подальшого використання картриджів, наданих Замовником, про що, при необхідності, складається в довільній формі Акт технічного стану картриджів.</w:t>
      </w:r>
    </w:p>
    <w:p w14:paraId="7064E7DA" w14:textId="2DD07BB2" w:rsidR="00C130F9" w:rsidRPr="00C130F9" w:rsidRDefault="00C130F9" w:rsidP="00C130F9">
      <w:pPr>
        <w:pStyle w:val="af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0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C130F9">
        <w:rPr>
          <w:rFonts w:ascii="Times New Roman" w:hAnsi="Times New Roman" w:cs="Times New Roman"/>
          <w:sz w:val="28"/>
          <w:szCs w:val="28"/>
        </w:rPr>
        <w:t xml:space="preserve">2.4. Утилізація відпрацьованих матеріалів та запчастин проводиться Виконавцем. </w:t>
      </w:r>
    </w:p>
    <w:p w14:paraId="6A1F96D8" w14:textId="7A3C3CF2" w:rsidR="00C130F9" w:rsidRPr="00C130F9" w:rsidRDefault="00C130F9" w:rsidP="00C130F9">
      <w:pPr>
        <w:pStyle w:val="af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0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C130F9">
        <w:rPr>
          <w:rFonts w:ascii="Times New Roman" w:hAnsi="Times New Roman" w:cs="Times New Roman"/>
          <w:sz w:val="28"/>
          <w:szCs w:val="28"/>
        </w:rPr>
        <w:t>2.5. Тонер, що використовується для надання Послуг, повинен забезпечувати якість друку не гіршу, ніж при друку на новому картриджі протягом всього строку експлуатації.</w:t>
      </w:r>
    </w:p>
    <w:p w14:paraId="58EAD806" w14:textId="7DEEAB60" w:rsidR="00C130F9" w:rsidRPr="00C130F9" w:rsidRDefault="00C130F9" w:rsidP="00C130F9">
      <w:pPr>
        <w:pStyle w:val="af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0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C130F9">
        <w:rPr>
          <w:rFonts w:ascii="Times New Roman" w:hAnsi="Times New Roman" w:cs="Times New Roman"/>
          <w:sz w:val="28"/>
          <w:szCs w:val="28"/>
        </w:rPr>
        <w:t>2.6. Після надання Послуг в картриджах повинні бути рекомендовані виробником об’єм та вага тонера (у відповідності до технічних характеристик картриджа та стандартів фірми виробника), друк контрастний, з гарною передачею півтонів, без жодних дефектів впродовж друку всієї нормативної кількості сторінок, встановленої виробником принтеру для відповідного типу картриджа.</w:t>
      </w:r>
    </w:p>
    <w:p w14:paraId="446E4C2D" w14:textId="2BBD2904" w:rsidR="00C130F9" w:rsidRPr="00C130F9" w:rsidRDefault="00C130F9" w:rsidP="00C130F9">
      <w:pPr>
        <w:pStyle w:val="af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30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Pr="00C130F9">
        <w:rPr>
          <w:rFonts w:ascii="Times New Roman" w:hAnsi="Times New Roman" w:cs="Times New Roman"/>
          <w:sz w:val="28"/>
          <w:szCs w:val="28"/>
        </w:rPr>
        <w:t>2.7. Після отримання картриджів від Виконавця Замовник вибірково перевіряє якість надання Послуг, здійснюючи контрольне зважування картриджів та роздруковуючи серію тестових сторінок, що діагностують поточний стан картриджа.</w:t>
      </w:r>
    </w:p>
    <w:p w14:paraId="566D26B3" w14:textId="045E20D8" w:rsidR="00C130F9" w:rsidRPr="00C130F9" w:rsidRDefault="00C130F9" w:rsidP="00C130F9">
      <w:pPr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2.8. У разі виявлення, протягом 1 року з дати заправки картриджів, недоліків по якості наданих послуг Виконавець зобов’язаний усунути їх за власний рахунок протягом двох робочих днів. </w:t>
      </w:r>
    </w:p>
    <w:p w14:paraId="34727E64" w14:textId="76444698" w:rsidR="00C130F9" w:rsidRPr="00C130F9" w:rsidRDefault="00C130F9" w:rsidP="00C130F9">
      <w:pPr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2.9. Заправлений картридж має відпрацьовувати заявлений виробником картриджів ресурс (кількість роздрукованих сторінок А4 при 5% заповнені), без зниження якості друку. </w:t>
      </w:r>
    </w:p>
    <w:p w14:paraId="2767823E" w14:textId="40040F31" w:rsidR="00C130F9" w:rsidRPr="00C130F9" w:rsidRDefault="00C130F9" w:rsidP="00C130F9">
      <w:pPr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>2.10. Для обслуговування приймаються всі картриджі в робочому стані, за винятком картриджів з наявними дефектами (тріщинками та поломками) корпусу.</w:t>
      </w:r>
    </w:p>
    <w:p w14:paraId="48FC5C0A" w14:textId="631B23B9" w:rsidR="00C130F9" w:rsidRPr="00C130F9" w:rsidRDefault="00C130F9" w:rsidP="00C130F9">
      <w:pPr>
        <w:contextualSpacing/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 xml:space="preserve">2.11. Заправлені/відновлені картриджі мають бути упаковані в світло- і вологонепроникний герметичний пакет, що виключає пошкодження при транспортуванні, </w:t>
      </w:r>
      <w:proofErr w:type="spellStart"/>
      <w:r w:rsidRPr="00C130F9">
        <w:rPr>
          <w:sz w:val="28"/>
          <w:szCs w:val="28"/>
        </w:rPr>
        <w:t>просипання</w:t>
      </w:r>
      <w:proofErr w:type="spellEnd"/>
      <w:r w:rsidRPr="00C130F9">
        <w:rPr>
          <w:sz w:val="28"/>
          <w:szCs w:val="28"/>
        </w:rPr>
        <w:t xml:space="preserve"> або виток тонера, з вкладеною тестовою сторінкою. Картридж повинен мати етикетку з інформацією, що дозволяє ідентифікувати дату виконаних робіт та має бути опломбованим.</w:t>
      </w:r>
    </w:p>
    <w:p w14:paraId="1463CB78" w14:textId="78BD123F" w:rsidR="00C130F9" w:rsidRPr="00C130F9" w:rsidRDefault="00C130F9" w:rsidP="00C130F9">
      <w:pPr>
        <w:jc w:val="both"/>
        <w:rPr>
          <w:sz w:val="28"/>
          <w:szCs w:val="28"/>
        </w:rPr>
      </w:pPr>
      <w:r w:rsidRPr="00C130F9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C130F9">
        <w:rPr>
          <w:sz w:val="28"/>
          <w:szCs w:val="28"/>
        </w:rPr>
        <w:t>2.12. На підтвердження відповідності тендерної пропозиції учасника технічним, якісним, кількісним та іншим вимогам до предмета закупівлі, установленим замовником в цьому додатку, Учасник процедури закупівлі повинен надати у складі тендерної пропозиції:</w:t>
      </w:r>
    </w:p>
    <w:p w14:paraId="53817A48" w14:textId="77777777" w:rsidR="00C130F9" w:rsidRPr="00C130F9" w:rsidRDefault="00C130F9" w:rsidP="00C130F9">
      <w:pPr>
        <w:contextualSpacing/>
        <w:jc w:val="both"/>
        <w:rPr>
          <w:sz w:val="28"/>
          <w:szCs w:val="28"/>
        </w:rPr>
      </w:pPr>
    </w:p>
    <w:tbl>
      <w:tblPr>
        <w:tblW w:w="9645" w:type="dxa"/>
        <w:tblInd w:w="108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0"/>
        <w:gridCol w:w="9075"/>
      </w:tblGrid>
      <w:tr w:rsidR="00C130F9" w:rsidRPr="00C130F9" w14:paraId="401F8301" w14:textId="77777777" w:rsidTr="00E4049B">
        <w:trPr>
          <w:trHeight w:val="1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0522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1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AF30" w14:textId="77777777" w:rsidR="00C130F9" w:rsidRPr="00C130F9" w:rsidRDefault="00C130F9" w:rsidP="00E4049B">
            <w:pPr>
              <w:widowControl w:val="0"/>
              <w:tabs>
                <w:tab w:val="left" w:pos="9248"/>
              </w:tabs>
              <w:contextualSpacing/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 xml:space="preserve">Завірену належним чином копію листа авторизації від виробника/імпортера витратних матеріалів </w:t>
            </w:r>
            <w:proofErr w:type="spellStart"/>
            <w:r w:rsidRPr="00C130F9">
              <w:rPr>
                <w:sz w:val="28"/>
                <w:szCs w:val="28"/>
              </w:rPr>
              <w:t>Tsi</w:t>
            </w:r>
            <w:proofErr w:type="spellEnd"/>
            <w:r w:rsidRPr="00C130F9">
              <w:rPr>
                <w:sz w:val="28"/>
                <w:szCs w:val="28"/>
              </w:rPr>
              <w:t xml:space="preserve"> (або еквівалент), про те, що Учасник має статус його авторизованого партнера. Лист авторизації </w:t>
            </w:r>
            <w:r w:rsidRPr="00C130F9">
              <w:rPr>
                <w:sz w:val="28"/>
                <w:szCs w:val="28"/>
              </w:rPr>
              <w:lastRenderedPageBreak/>
              <w:t>повинен бути створений для участі у даній закупівлі та містити  її ідентифікатор.</w:t>
            </w:r>
          </w:p>
        </w:tc>
      </w:tr>
      <w:tr w:rsidR="00C130F9" w:rsidRPr="00C130F9" w14:paraId="6275C12E" w14:textId="77777777" w:rsidTr="00E4049B">
        <w:trPr>
          <w:trHeight w:val="93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3F18A8B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AD6B" w14:textId="77777777" w:rsidR="00C130F9" w:rsidRPr="00C130F9" w:rsidRDefault="00C130F9" w:rsidP="00E4049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Гарантійний лист про те, що транспортування (забирання/повернення) заправлених/ відновлених картриджів виконується власними засобами Виконавця та входить в ціну договору.</w:t>
            </w:r>
          </w:p>
        </w:tc>
      </w:tr>
      <w:tr w:rsidR="00C130F9" w:rsidRPr="00C130F9" w14:paraId="6CE4F4F4" w14:textId="77777777" w:rsidTr="00E4049B">
        <w:trPr>
          <w:trHeight w:val="1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A80DD59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3</w:t>
            </w:r>
          </w:p>
        </w:tc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7ECB" w14:textId="77777777" w:rsidR="00C130F9" w:rsidRPr="00C130F9" w:rsidRDefault="00C130F9" w:rsidP="00E4049B">
            <w:pPr>
              <w:widowControl w:val="0"/>
              <w:tabs>
                <w:tab w:val="left" w:pos="709"/>
              </w:tabs>
              <w:contextualSpacing/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Завірені належним чином копії висновків державної санітарно-епідеміологічної експертизи, виданих Державною службою України з питань безпечності харчових продуктів та захисту споживачів з сертифікатом аналізу на герметизуючі матеріали (мастила), які є безпечними для застосування за призначенням та оточуючого персоналу, дійсні на момент розкриття пропозицій.</w:t>
            </w:r>
          </w:p>
        </w:tc>
      </w:tr>
      <w:tr w:rsidR="00C130F9" w:rsidRPr="00C130F9" w14:paraId="184F084C" w14:textId="77777777" w:rsidTr="00E4049B">
        <w:trPr>
          <w:trHeight w:val="1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6963239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4</w:t>
            </w:r>
          </w:p>
        </w:tc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78AA" w14:textId="77777777" w:rsidR="00C130F9" w:rsidRPr="00C130F9" w:rsidRDefault="00C130F9" w:rsidP="00E4049B">
            <w:pPr>
              <w:widowControl w:val="0"/>
              <w:tabs>
                <w:tab w:val="left" w:pos="9248"/>
              </w:tabs>
              <w:contextualSpacing/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Завірену належним чином копію сертифікату, про наявність у виробника витратних матеріалів системи менеджменту, професійної безпеки та здоров’я ISO 45001:2018, виданого органом з сертифікації систем менеджменту стосовно розробки, виробництва витратних матеріалів, дійсного на момент подання пропозицій.</w:t>
            </w:r>
          </w:p>
        </w:tc>
      </w:tr>
      <w:tr w:rsidR="00C130F9" w:rsidRPr="00C130F9" w14:paraId="1E9B2F08" w14:textId="77777777" w:rsidTr="00E4049B">
        <w:trPr>
          <w:trHeight w:val="1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AFE0CE0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5</w:t>
            </w:r>
          </w:p>
        </w:tc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8DE" w14:textId="77777777" w:rsidR="00C130F9" w:rsidRPr="00C130F9" w:rsidRDefault="00C130F9" w:rsidP="00E4049B">
            <w:pPr>
              <w:widowControl w:val="0"/>
              <w:tabs>
                <w:tab w:val="left" w:pos="9248"/>
              </w:tabs>
              <w:contextualSpacing/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Завірені належним чином  копії сертифікатів міжнародного зразка, про наявність у виробника/імпортера запропонованого тонеру, системи контроля якості ISO 9001:2015 та системи екологічного менеджменту ISO 14001:2015 на відповідність вимогам ДСТУ EN ISO/IEC 17021-1:2015 (ISO/IEC 17021-1:2015), виданих органом з сертифікації систем менеджменту, який офіційно акредитований Національним агентством з акредитації України та є в переліку на офіційному веб-ресурсі (</w:t>
            </w:r>
            <w:hyperlink r:id="rId7">
              <w:r w:rsidRPr="00C130F9">
                <w:rPr>
                  <w:sz w:val="28"/>
                  <w:szCs w:val="28"/>
                </w:rPr>
                <w:t>https://naau.org.ua</w:t>
              </w:r>
            </w:hyperlink>
            <w:r w:rsidRPr="00C130F9">
              <w:rPr>
                <w:sz w:val="28"/>
                <w:szCs w:val="28"/>
              </w:rPr>
              <w:t>). На підтвердження надати завірену належним чином копію атестату про акредитацію, дійсного на момент розкриття пропозицій.</w:t>
            </w:r>
          </w:p>
        </w:tc>
      </w:tr>
      <w:tr w:rsidR="00C130F9" w:rsidRPr="00C130F9" w14:paraId="208FC50D" w14:textId="77777777" w:rsidTr="00E4049B">
        <w:trPr>
          <w:trHeight w:val="132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</w:tcBorders>
          </w:tcPr>
          <w:p w14:paraId="42680C6A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6</w:t>
            </w:r>
          </w:p>
        </w:tc>
        <w:tc>
          <w:tcPr>
            <w:tcW w:w="90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1156D" w14:textId="77777777" w:rsidR="00C130F9" w:rsidRPr="00C130F9" w:rsidRDefault="00C130F9" w:rsidP="00E404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Завірені належним чином копії висновків державної санітарно-епідеміологічної експертизи, виданих Державною службою України з питань безпечності харчових продуктів та захисту споживачів на витратні матеріали для картриджів (тонери, фото барабани, магнітні вали, ракелі) запропонованих виробників, які використовуються при наданні послуг з заправки або відновлення картриджів, що є безпечними для застосування за призначенням та оточуючого персоналу, дійсні на момент розкриття пропозицій.</w:t>
            </w:r>
          </w:p>
        </w:tc>
      </w:tr>
      <w:tr w:rsidR="00C130F9" w:rsidRPr="00C130F9" w14:paraId="6AD42EF7" w14:textId="77777777" w:rsidTr="00E4049B">
        <w:trPr>
          <w:trHeight w:val="1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E04" w14:textId="77777777" w:rsidR="00C130F9" w:rsidRPr="00C130F9" w:rsidRDefault="00C130F9" w:rsidP="00E4049B">
            <w:pPr>
              <w:contextualSpacing/>
              <w:jc w:val="center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>7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56E" w14:textId="77777777" w:rsidR="00C130F9" w:rsidRPr="00C130F9" w:rsidRDefault="00C130F9" w:rsidP="00E404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130F9">
              <w:rPr>
                <w:sz w:val="28"/>
                <w:szCs w:val="28"/>
              </w:rPr>
              <w:t xml:space="preserve">Довідка/лист, складений у довільній формі, з інформацією про країну походження витратних матеріалів (тонерів), враховуючи те, що замовникам забороняється здійснювати публічні закупівлі товарів походженням з Російської Федерації/Республіки Білорусь (за винятком товарів, необхідних для ремонту та обслуговування товарів, придбаних до набрання чинності постановою Кабінету Міністрів України від 12 жовтня 2022 р. № 1178 «Про затвердження особливостей здійснення публічних </w:t>
            </w:r>
            <w:proofErr w:type="spellStart"/>
            <w:r w:rsidRPr="00C130F9">
              <w:rPr>
                <w:sz w:val="28"/>
                <w:szCs w:val="28"/>
              </w:rPr>
              <w:t>закупівель</w:t>
            </w:r>
            <w:proofErr w:type="spellEnd"/>
            <w:r w:rsidRPr="00C130F9">
              <w:rPr>
                <w:sz w:val="28"/>
                <w:szCs w:val="28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</w:t>
            </w:r>
            <w:r w:rsidRPr="00C130F9">
              <w:rPr>
                <w:sz w:val="28"/>
                <w:szCs w:val="28"/>
              </w:rPr>
              <w:lastRenderedPageBreak/>
              <w:t xml:space="preserve">його припинення або скасування».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 </w:t>
            </w:r>
          </w:p>
        </w:tc>
      </w:tr>
    </w:tbl>
    <w:p w14:paraId="39DE27E4" w14:textId="691AAA0C" w:rsidR="009632A1" w:rsidRDefault="009632A1" w:rsidP="00C130F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1BDBC2C" w14:textId="77777777" w:rsidR="00956251" w:rsidRDefault="00956251" w:rsidP="0095625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99D8EA8" w14:textId="77777777" w:rsidR="009632A1" w:rsidRDefault="00C345A8" w:rsidP="009632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68AA1F84" w14:textId="77777777" w:rsidR="009632A1" w:rsidRDefault="009632A1" w:rsidP="009632A1">
      <w:pPr>
        <w:ind w:firstLine="709"/>
        <w:contextualSpacing/>
        <w:jc w:val="both"/>
        <w:rPr>
          <w:sz w:val="28"/>
          <w:szCs w:val="28"/>
        </w:rPr>
      </w:pPr>
    </w:p>
    <w:p w14:paraId="2D103AD9" w14:textId="77777777" w:rsidR="00673A02" w:rsidRPr="00673A02" w:rsidRDefault="00C345A8" w:rsidP="008B261F">
      <w:pPr>
        <w:spacing w:after="113"/>
        <w:ind w:firstLine="709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6. Очікувана вартість предмета закупівлі</w:t>
      </w:r>
      <w:r w:rsidR="009632A1" w:rsidRPr="00673A02">
        <w:rPr>
          <w:sz w:val="28"/>
          <w:szCs w:val="28"/>
        </w:rPr>
        <w:t xml:space="preserve">: </w:t>
      </w:r>
      <w:r w:rsidR="00673A02" w:rsidRPr="00673A02">
        <w:rPr>
          <w:color w:val="000000" w:themeColor="text1"/>
          <w:sz w:val="28"/>
          <w:szCs w:val="28"/>
        </w:rPr>
        <w:t>38624,65 грн. (Тридцять вісім тисяч шістсот двадцять чотири гривні 65 копійок) з ПДВ.</w:t>
      </w:r>
      <w:r w:rsidR="00673A02" w:rsidRPr="00673A02">
        <w:rPr>
          <w:bCs/>
          <w:color w:val="000000"/>
          <w:sz w:val="28"/>
          <w:szCs w:val="28"/>
        </w:rPr>
        <w:t xml:space="preserve"> </w:t>
      </w:r>
    </w:p>
    <w:p w14:paraId="7E2D02BA" w14:textId="62AE5A31" w:rsidR="00C91B5F" w:rsidRDefault="00C91B5F" w:rsidP="009632A1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CEA05F3" w14:textId="77777777" w:rsidR="00956251" w:rsidRDefault="00956251" w:rsidP="009562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2D2AED9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sectPr w:rsidR="00C91B5F" w:rsidSect="00C345A8">
      <w:headerReference w:type="default" r:id="rId8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14AA75E7"/>
    <w:multiLevelType w:val="hybridMultilevel"/>
    <w:tmpl w:val="AC92C9B4"/>
    <w:lvl w:ilvl="0" w:tplc="6D76D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5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6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0"/>
  </w:num>
  <w:num w:numId="2" w16cid:durableId="1443721072">
    <w:abstractNumId w:val="6"/>
  </w:num>
  <w:num w:numId="3" w16cid:durableId="855077333">
    <w:abstractNumId w:val="3"/>
  </w:num>
  <w:num w:numId="4" w16cid:durableId="1431927006">
    <w:abstractNumId w:val="4"/>
  </w:num>
  <w:num w:numId="5" w16cid:durableId="1812362301">
    <w:abstractNumId w:val="2"/>
  </w:num>
  <w:num w:numId="6" w16cid:durableId="595208444">
    <w:abstractNumId w:val="5"/>
  </w:num>
  <w:num w:numId="7" w16cid:durableId="54088664">
    <w:abstractNumId w:val="7"/>
  </w:num>
  <w:num w:numId="8" w16cid:durableId="113024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47687C"/>
    <w:rsid w:val="0054204B"/>
    <w:rsid w:val="00547622"/>
    <w:rsid w:val="005717E2"/>
    <w:rsid w:val="00673A02"/>
    <w:rsid w:val="0070573F"/>
    <w:rsid w:val="007C304D"/>
    <w:rsid w:val="008B261F"/>
    <w:rsid w:val="008E3631"/>
    <w:rsid w:val="009452F8"/>
    <w:rsid w:val="00956251"/>
    <w:rsid w:val="009632A1"/>
    <w:rsid w:val="00C130F9"/>
    <w:rsid w:val="00C345A8"/>
    <w:rsid w:val="00C91B5F"/>
    <w:rsid w:val="00DA0FC2"/>
    <w:rsid w:val="00DF75F6"/>
    <w:rsid w:val="00E538C9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1">
    <w:name w:val="Верхній і нижній колонтитули"/>
    <w:basedOn w:val="a"/>
    <w:qFormat/>
  </w:style>
  <w:style w:type="paragraph" w:styleId="aff2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5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6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7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8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9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a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a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a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a"/>
    <w:uiPriority w:val="99"/>
    <w:qFormat/>
    <w:rsid w:val="00846D2F"/>
    <w:rPr>
      <w:b/>
      <w:bCs/>
    </w:rPr>
  </w:style>
  <w:style w:type="paragraph" w:customStyle="1" w:styleId="45">
    <w:name w:val="Стиль4"/>
    <w:basedOn w:val="affa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b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c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d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au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7677</Words>
  <Characters>4376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Vovchenko@KharkivCustoms.onmicrosoft.com</cp:lastModifiedBy>
  <cp:revision>7</cp:revision>
  <cp:lastPrinted>2023-10-19T09:51:00Z</cp:lastPrinted>
  <dcterms:created xsi:type="dcterms:W3CDTF">2023-09-15T09:46:00Z</dcterms:created>
  <dcterms:modified xsi:type="dcterms:W3CDTF">2023-10-19T09:53:00Z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